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5AF" w:rsidRDefault="009F7AA9" w:rsidP="001B72CE">
      <w:pPr>
        <w:pStyle w:val="GvdeMetni"/>
        <w:spacing w:line="240" w:lineRule="auto"/>
        <w:jc w:val="center"/>
        <w:rPr>
          <w:rFonts w:ascii="Calibri" w:hAnsi="Calibri" w:cs="Arial"/>
          <w:b/>
          <w:sz w:val="24"/>
          <w:szCs w:val="24"/>
        </w:rPr>
      </w:pPr>
      <w:r w:rsidRPr="000E0085">
        <w:rPr>
          <w:noProof/>
        </w:rPr>
        <w:drawing>
          <wp:inline distT="0" distB="0" distL="0" distR="0">
            <wp:extent cx="6257925" cy="12668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1266825"/>
                    </a:xfrm>
                    <a:prstGeom prst="rect">
                      <a:avLst/>
                    </a:prstGeom>
                    <a:noFill/>
                    <a:ln>
                      <a:noFill/>
                    </a:ln>
                  </pic:spPr>
                </pic:pic>
              </a:graphicData>
            </a:graphic>
          </wp:inline>
        </w:drawing>
      </w:r>
    </w:p>
    <w:p w:rsidR="005C45AF" w:rsidRDefault="005C45AF" w:rsidP="001B72CE">
      <w:pPr>
        <w:pStyle w:val="GvdeMetni"/>
        <w:spacing w:line="240" w:lineRule="auto"/>
        <w:jc w:val="center"/>
        <w:rPr>
          <w:rFonts w:ascii="Calibri" w:hAnsi="Calibri" w:cs="Arial"/>
          <w:b/>
          <w:sz w:val="24"/>
          <w:szCs w:val="24"/>
        </w:rPr>
      </w:pPr>
    </w:p>
    <w:p w:rsidR="00475C5A" w:rsidRDefault="00475C5A" w:rsidP="001B72CE">
      <w:pPr>
        <w:pStyle w:val="GvdeMetni"/>
        <w:spacing w:line="240" w:lineRule="auto"/>
        <w:jc w:val="center"/>
        <w:rPr>
          <w:rFonts w:ascii="Calibri" w:hAnsi="Calibri" w:cs="Arial"/>
          <w:b/>
          <w:sz w:val="24"/>
          <w:szCs w:val="24"/>
        </w:rPr>
      </w:pPr>
    </w:p>
    <w:p w:rsidR="007D4698" w:rsidRPr="00417D9B" w:rsidRDefault="000F4066" w:rsidP="001B72CE">
      <w:pPr>
        <w:pStyle w:val="GvdeMetni"/>
        <w:spacing w:line="240" w:lineRule="auto"/>
        <w:jc w:val="center"/>
        <w:rPr>
          <w:rFonts w:ascii="Calibri" w:hAnsi="Calibri" w:cs="Arial"/>
          <w:b/>
          <w:color w:val="002060"/>
          <w:sz w:val="32"/>
          <w:szCs w:val="32"/>
        </w:rPr>
      </w:pPr>
      <w:r w:rsidRPr="00417D9B">
        <w:rPr>
          <w:rFonts w:ascii="Calibri" w:hAnsi="Calibri" w:cs="Arial"/>
          <w:b/>
          <w:color w:val="002060"/>
          <w:sz w:val="32"/>
          <w:szCs w:val="32"/>
        </w:rPr>
        <w:t>20</w:t>
      </w:r>
      <w:r w:rsidR="00143BA9" w:rsidRPr="00417D9B">
        <w:rPr>
          <w:rFonts w:ascii="Calibri" w:hAnsi="Calibri" w:cs="Arial"/>
          <w:b/>
          <w:color w:val="002060"/>
          <w:sz w:val="32"/>
          <w:szCs w:val="32"/>
        </w:rPr>
        <w:t>2</w:t>
      </w:r>
      <w:r w:rsidR="007C6A8E" w:rsidRPr="00417D9B">
        <w:rPr>
          <w:rFonts w:ascii="Calibri" w:hAnsi="Calibri" w:cs="Arial"/>
          <w:b/>
          <w:color w:val="002060"/>
          <w:sz w:val="32"/>
          <w:szCs w:val="32"/>
        </w:rPr>
        <w:t>2</w:t>
      </w:r>
      <w:r w:rsidR="001E27CA" w:rsidRPr="00417D9B">
        <w:rPr>
          <w:rFonts w:ascii="Calibri" w:hAnsi="Calibri" w:cs="Arial"/>
          <w:b/>
          <w:color w:val="002060"/>
          <w:sz w:val="32"/>
          <w:szCs w:val="32"/>
        </w:rPr>
        <w:t xml:space="preserve"> MİLLİ </w:t>
      </w:r>
      <w:r w:rsidR="00374CA6" w:rsidRPr="00417D9B">
        <w:rPr>
          <w:rFonts w:ascii="Calibri" w:hAnsi="Calibri" w:cs="Arial"/>
          <w:b/>
          <w:color w:val="002060"/>
          <w:sz w:val="32"/>
          <w:szCs w:val="32"/>
        </w:rPr>
        <w:t>EĞİTİM</w:t>
      </w:r>
      <w:r w:rsidR="001B72CE" w:rsidRPr="00417D9B">
        <w:rPr>
          <w:rFonts w:ascii="Calibri" w:hAnsi="Calibri" w:cs="Arial"/>
          <w:b/>
          <w:color w:val="002060"/>
          <w:sz w:val="32"/>
          <w:szCs w:val="32"/>
        </w:rPr>
        <w:t xml:space="preserve"> </w:t>
      </w:r>
      <w:r w:rsidR="001E27CA" w:rsidRPr="00417D9B">
        <w:rPr>
          <w:rFonts w:ascii="Calibri" w:hAnsi="Calibri" w:cs="Arial"/>
          <w:b/>
          <w:color w:val="002060"/>
          <w:sz w:val="32"/>
          <w:szCs w:val="32"/>
        </w:rPr>
        <w:t xml:space="preserve">BAKANLIĞI </w:t>
      </w:r>
      <w:r w:rsidR="0097745E" w:rsidRPr="00417D9B">
        <w:rPr>
          <w:rFonts w:ascii="Calibri" w:hAnsi="Calibri" w:cs="Arial"/>
          <w:b/>
          <w:color w:val="002060"/>
          <w:sz w:val="32"/>
          <w:szCs w:val="32"/>
        </w:rPr>
        <w:t xml:space="preserve">BÜTÇESİ </w:t>
      </w:r>
      <w:r w:rsidR="002B7ACD" w:rsidRPr="00417D9B">
        <w:rPr>
          <w:rFonts w:ascii="Calibri" w:hAnsi="Calibri" w:cs="Arial"/>
          <w:b/>
          <w:color w:val="002060"/>
          <w:sz w:val="32"/>
          <w:szCs w:val="32"/>
        </w:rPr>
        <w:t xml:space="preserve">PANDEMİ </w:t>
      </w:r>
      <w:r w:rsidR="00CB43A4" w:rsidRPr="00417D9B">
        <w:rPr>
          <w:rFonts w:ascii="Calibri" w:hAnsi="Calibri" w:cs="Arial"/>
          <w:b/>
          <w:color w:val="002060"/>
          <w:sz w:val="32"/>
          <w:szCs w:val="32"/>
        </w:rPr>
        <w:t xml:space="preserve">SONRASI EĞİTİM </w:t>
      </w:r>
      <w:r w:rsidR="002B7ACD" w:rsidRPr="00417D9B">
        <w:rPr>
          <w:rFonts w:ascii="Calibri" w:hAnsi="Calibri" w:cs="Arial"/>
          <w:b/>
          <w:color w:val="002060"/>
          <w:sz w:val="32"/>
          <w:szCs w:val="32"/>
        </w:rPr>
        <w:t>İHTİYAÇLARINI</w:t>
      </w:r>
      <w:r w:rsidR="00CB43A4" w:rsidRPr="00417D9B">
        <w:rPr>
          <w:rFonts w:ascii="Calibri" w:hAnsi="Calibri" w:cs="Arial"/>
          <w:b/>
          <w:color w:val="002060"/>
          <w:sz w:val="32"/>
          <w:szCs w:val="32"/>
        </w:rPr>
        <w:t xml:space="preserve"> KARŞILAMAKTAN UZAKTIR</w:t>
      </w:r>
      <w:r w:rsidR="002B7ACD" w:rsidRPr="00417D9B">
        <w:rPr>
          <w:rFonts w:ascii="Calibri" w:hAnsi="Calibri" w:cs="Arial"/>
          <w:b/>
          <w:color w:val="002060"/>
          <w:sz w:val="32"/>
          <w:szCs w:val="32"/>
        </w:rPr>
        <w:t>!</w:t>
      </w:r>
    </w:p>
    <w:p w:rsidR="007D4698" w:rsidRPr="001B72CE" w:rsidRDefault="007D4698" w:rsidP="001B72CE">
      <w:pPr>
        <w:pStyle w:val="GvdeMetni"/>
        <w:spacing w:line="240" w:lineRule="auto"/>
        <w:rPr>
          <w:rFonts w:ascii="Calibri" w:hAnsi="Calibri" w:cs="Arial"/>
          <w:b/>
          <w:sz w:val="16"/>
          <w:szCs w:val="16"/>
        </w:rPr>
      </w:pPr>
    </w:p>
    <w:p w:rsidR="00143BA9" w:rsidRDefault="00143BA9" w:rsidP="001E46CF">
      <w:pPr>
        <w:ind w:firstLine="426"/>
        <w:jc w:val="both"/>
        <w:rPr>
          <w:rFonts w:ascii="Calibri" w:hAnsi="Calibri"/>
        </w:rPr>
      </w:pPr>
      <w:r>
        <w:rPr>
          <w:rFonts w:ascii="Calibri" w:hAnsi="Calibri"/>
          <w:color w:val="000000"/>
        </w:rPr>
        <w:t>202</w:t>
      </w:r>
      <w:r w:rsidR="007C6A8E">
        <w:rPr>
          <w:rFonts w:ascii="Calibri" w:hAnsi="Calibri"/>
          <w:color w:val="000000"/>
        </w:rPr>
        <w:t>2</w:t>
      </w:r>
      <w:r>
        <w:rPr>
          <w:rFonts w:ascii="Calibri" w:hAnsi="Calibri"/>
          <w:color w:val="000000"/>
        </w:rPr>
        <w:t xml:space="preserve"> yılı</w:t>
      </w:r>
      <w:r w:rsidRPr="001B72CE">
        <w:rPr>
          <w:rFonts w:ascii="Calibri" w:hAnsi="Calibri"/>
          <w:color w:val="000000"/>
        </w:rPr>
        <w:t xml:space="preserve"> Merkezi Bütçe </w:t>
      </w:r>
      <w:r>
        <w:rPr>
          <w:rFonts w:ascii="Calibri" w:hAnsi="Calibri"/>
          <w:color w:val="000000"/>
        </w:rPr>
        <w:t xml:space="preserve">Kanun </w:t>
      </w:r>
      <w:r w:rsidR="001E46CF">
        <w:rPr>
          <w:rFonts w:ascii="Calibri" w:hAnsi="Calibri"/>
          <w:color w:val="000000"/>
        </w:rPr>
        <w:t xml:space="preserve">Tasarısı, her yıl </w:t>
      </w:r>
      <w:r w:rsidR="0081121A">
        <w:rPr>
          <w:rFonts w:ascii="Calibri" w:hAnsi="Calibri"/>
          <w:color w:val="000000"/>
        </w:rPr>
        <w:t>tekrarlanan ‘Bütçede en çok pay</w:t>
      </w:r>
      <w:r w:rsidR="001E46CF">
        <w:rPr>
          <w:rFonts w:ascii="Calibri" w:hAnsi="Calibri"/>
          <w:color w:val="000000"/>
        </w:rPr>
        <w:t xml:space="preserve"> eğitime ayr</w:t>
      </w:r>
      <w:r w:rsidR="0081121A">
        <w:rPr>
          <w:rFonts w:ascii="Calibri" w:hAnsi="Calibri"/>
          <w:color w:val="000000"/>
        </w:rPr>
        <w:t>ıl</w:t>
      </w:r>
      <w:r w:rsidR="001E46CF">
        <w:rPr>
          <w:rFonts w:ascii="Calibri" w:hAnsi="Calibri"/>
          <w:color w:val="000000"/>
        </w:rPr>
        <w:t>dı’ propagandası eşliğinde TBMM’ye sunulmuştur. 202</w:t>
      </w:r>
      <w:r w:rsidR="007C6A8E">
        <w:rPr>
          <w:rFonts w:ascii="Calibri" w:hAnsi="Calibri"/>
          <w:color w:val="000000"/>
        </w:rPr>
        <w:t>2</w:t>
      </w:r>
      <w:r w:rsidR="001E46CF">
        <w:rPr>
          <w:rFonts w:ascii="Calibri" w:hAnsi="Calibri"/>
          <w:color w:val="000000"/>
        </w:rPr>
        <w:t xml:space="preserve"> bütçesinin, </w:t>
      </w:r>
      <w:r w:rsidR="003722A5" w:rsidRPr="002B7ACD">
        <w:rPr>
          <w:rFonts w:ascii="Calibri" w:hAnsi="Calibri"/>
          <w:color w:val="000000" w:themeColor="text1"/>
        </w:rPr>
        <w:t>bir yandan COVID-19 salgınında yüz yüze eğitimi sürdürmek için gerekli olan okul, derslik ve personel gereksin</w:t>
      </w:r>
      <w:r w:rsidR="00417D9B">
        <w:rPr>
          <w:rFonts w:ascii="Calibri" w:hAnsi="Calibri"/>
          <w:color w:val="000000" w:themeColor="text1"/>
        </w:rPr>
        <w:t>im</w:t>
      </w:r>
      <w:r w:rsidR="003722A5" w:rsidRPr="002B7ACD">
        <w:rPr>
          <w:rFonts w:ascii="Calibri" w:hAnsi="Calibri"/>
          <w:color w:val="000000" w:themeColor="text1"/>
        </w:rPr>
        <w:t xml:space="preserve">ini </w:t>
      </w:r>
      <w:r w:rsidR="003F422E" w:rsidRPr="002B7ACD">
        <w:rPr>
          <w:rFonts w:ascii="Calibri" w:hAnsi="Calibri"/>
          <w:color w:val="000000" w:themeColor="text1"/>
        </w:rPr>
        <w:t>karşılamadığı</w:t>
      </w:r>
      <w:r w:rsidR="003722A5" w:rsidRPr="002B7ACD">
        <w:rPr>
          <w:rFonts w:ascii="Calibri" w:hAnsi="Calibri"/>
          <w:color w:val="000000" w:themeColor="text1"/>
        </w:rPr>
        <w:t>,</w:t>
      </w:r>
      <w:r w:rsidRPr="002B7ACD">
        <w:rPr>
          <w:rFonts w:ascii="Calibri" w:hAnsi="Calibri"/>
          <w:color w:val="000000" w:themeColor="text1"/>
        </w:rPr>
        <w:t xml:space="preserve"> </w:t>
      </w:r>
      <w:r w:rsidR="003722A5" w:rsidRPr="002B7ACD">
        <w:rPr>
          <w:rFonts w:ascii="Calibri" w:hAnsi="Calibri"/>
          <w:color w:val="000000" w:themeColor="text1"/>
        </w:rPr>
        <w:t xml:space="preserve">bir yandan da </w:t>
      </w:r>
      <w:r w:rsidRPr="002B7ACD">
        <w:rPr>
          <w:rFonts w:ascii="Calibri" w:hAnsi="Calibri"/>
          <w:color w:val="000000" w:themeColor="text1"/>
        </w:rPr>
        <w:t>geçmiş yıllarda</w:t>
      </w:r>
      <w:r w:rsidR="001E46CF" w:rsidRPr="002B7ACD">
        <w:rPr>
          <w:rFonts w:ascii="Calibri" w:hAnsi="Calibri"/>
          <w:color w:val="000000" w:themeColor="text1"/>
        </w:rPr>
        <w:t xml:space="preserve"> olduğu gibi, </w:t>
      </w:r>
      <w:r w:rsidRPr="002B7ACD">
        <w:rPr>
          <w:rFonts w:ascii="Calibri" w:hAnsi="Calibri"/>
          <w:color w:val="000000" w:themeColor="text1"/>
        </w:rPr>
        <w:t xml:space="preserve">kamu hizmetleri alanında yaşanan piyasalaştırma </w:t>
      </w:r>
      <w:r w:rsidR="001E46CF" w:rsidRPr="002B7ACD">
        <w:rPr>
          <w:rFonts w:ascii="Calibri" w:hAnsi="Calibri"/>
          <w:color w:val="000000" w:themeColor="text1"/>
        </w:rPr>
        <w:t xml:space="preserve">ve ticarileşme </w:t>
      </w:r>
      <w:r w:rsidRPr="001B72CE">
        <w:rPr>
          <w:rFonts w:ascii="Calibri" w:hAnsi="Calibri"/>
          <w:color w:val="000000"/>
        </w:rPr>
        <w:t>uygulamalarına paralel bir mantık</w:t>
      </w:r>
      <w:r w:rsidR="00417D9B">
        <w:rPr>
          <w:rFonts w:ascii="Calibri" w:hAnsi="Calibri"/>
          <w:color w:val="000000"/>
        </w:rPr>
        <w:t>la</w:t>
      </w:r>
      <w:r w:rsidRPr="001B72CE">
        <w:rPr>
          <w:rFonts w:ascii="Calibri" w:hAnsi="Calibri"/>
          <w:color w:val="000000"/>
        </w:rPr>
        <w:t xml:space="preserve"> hazırlan</w:t>
      </w:r>
      <w:r w:rsidR="001E46CF">
        <w:rPr>
          <w:rFonts w:ascii="Calibri" w:hAnsi="Calibri"/>
          <w:color w:val="000000"/>
        </w:rPr>
        <w:t xml:space="preserve">dığı </w:t>
      </w:r>
      <w:r w:rsidR="003722A5">
        <w:rPr>
          <w:rFonts w:ascii="Calibri" w:hAnsi="Calibri"/>
          <w:color w:val="000000"/>
        </w:rPr>
        <w:t>anlaşılmaktadır</w:t>
      </w:r>
      <w:r w:rsidR="001E46CF">
        <w:rPr>
          <w:rFonts w:ascii="Calibri" w:hAnsi="Calibri"/>
          <w:color w:val="000000"/>
        </w:rPr>
        <w:t>. 202</w:t>
      </w:r>
      <w:r w:rsidR="007C6A8E">
        <w:rPr>
          <w:rFonts w:ascii="Calibri" w:hAnsi="Calibri"/>
          <w:color w:val="000000"/>
        </w:rPr>
        <w:t>2</w:t>
      </w:r>
      <w:r w:rsidR="001E46CF">
        <w:rPr>
          <w:rFonts w:ascii="Calibri" w:hAnsi="Calibri"/>
          <w:color w:val="000000"/>
        </w:rPr>
        <w:t xml:space="preserve"> MEB </w:t>
      </w:r>
      <w:r w:rsidR="003722A5">
        <w:rPr>
          <w:rFonts w:ascii="Calibri" w:hAnsi="Calibri"/>
        </w:rPr>
        <w:t>bütçesi,</w:t>
      </w:r>
      <w:r w:rsidRPr="001B72CE">
        <w:rPr>
          <w:rFonts w:ascii="Calibri" w:hAnsi="Calibri"/>
        </w:rPr>
        <w:t xml:space="preserve"> eğitim sisteminin</w:t>
      </w:r>
      <w:r w:rsidR="001E46CF">
        <w:rPr>
          <w:rFonts w:ascii="Calibri" w:hAnsi="Calibri"/>
        </w:rPr>
        <w:t xml:space="preserve">, öğrencilerin ve eğitim emekçilerinin </w:t>
      </w:r>
      <w:r w:rsidR="00540FAB">
        <w:rPr>
          <w:rFonts w:ascii="Calibri" w:hAnsi="Calibri"/>
        </w:rPr>
        <w:t xml:space="preserve">yaşadığı </w:t>
      </w:r>
      <w:r w:rsidR="0081121A">
        <w:rPr>
          <w:rFonts w:ascii="Calibri" w:hAnsi="Calibri"/>
        </w:rPr>
        <w:t>sorunlar</w:t>
      </w:r>
      <w:r w:rsidR="00540FAB">
        <w:rPr>
          <w:rFonts w:ascii="Calibri" w:hAnsi="Calibri"/>
        </w:rPr>
        <w:t>a çözüm üretmekten uzaktır. S</w:t>
      </w:r>
      <w:r w:rsidR="007C6A8E">
        <w:rPr>
          <w:rFonts w:ascii="Calibri" w:hAnsi="Calibri"/>
        </w:rPr>
        <w:t>algın</w:t>
      </w:r>
      <w:r w:rsidR="0081121A">
        <w:rPr>
          <w:rFonts w:ascii="Calibri" w:hAnsi="Calibri"/>
        </w:rPr>
        <w:t xml:space="preserve"> koşullarında bile </w:t>
      </w:r>
      <w:r w:rsidR="007C6A8E">
        <w:rPr>
          <w:rFonts w:ascii="Calibri" w:hAnsi="Calibri"/>
        </w:rPr>
        <w:t>en temel ihtiyaçların</w:t>
      </w:r>
      <w:r w:rsidRPr="001B72CE">
        <w:rPr>
          <w:rFonts w:ascii="Calibri" w:hAnsi="Calibri"/>
        </w:rPr>
        <w:t xml:space="preserve"> görmezden gel</w:t>
      </w:r>
      <w:r w:rsidR="007C6A8E">
        <w:rPr>
          <w:rFonts w:ascii="Calibri" w:hAnsi="Calibri"/>
        </w:rPr>
        <w:t>indiği</w:t>
      </w:r>
      <w:r w:rsidR="00540FAB">
        <w:rPr>
          <w:rFonts w:ascii="Calibri" w:hAnsi="Calibri"/>
        </w:rPr>
        <w:t>,</w:t>
      </w:r>
      <w:r w:rsidR="0081121A">
        <w:rPr>
          <w:rFonts w:ascii="Calibri" w:hAnsi="Calibri"/>
        </w:rPr>
        <w:t xml:space="preserve"> </w:t>
      </w:r>
      <w:r w:rsidR="00540FAB">
        <w:rPr>
          <w:rFonts w:ascii="Calibri" w:hAnsi="Calibri"/>
        </w:rPr>
        <w:t xml:space="preserve">ek bütçe taleplerimizin yok sayıldığı koşullarda hazırlanan MEB bütçesinin </w:t>
      </w:r>
      <w:r w:rsidRPr="001B72CE">
        <w:rPr>
          <w:rFonts w:ascii="Calibri" w:hAnsi="Calibri"/>
        </w:rPr>
        <w:t>sadece zorunlu harcamalar dikkate al</w:t>
      </w:r>
      <w:r w:rsidR="0081121A">
        <w:rPr>
          <w:rFonts w:ascii="Calibri" w:hAnsi="Calibri"/>
        </w:rPr>
        <w:t xml:space="preserve">ınarak </w:t>
      </w:r>
      <w:r w:rsidRPr="001B72CE">
        <w:rPr>
          <w:rFonts w:ascii="Calibri" w:hAnsi="Calibri"/>
        </w:rPr>
        <w:t>hazırlan</w:t>
      </w:r>
      <w:r w:rsidR="00540FAB">
        <w:rPr>
          <w:rFonts w:ascii="Calibri" w:hAnsi="Calibri"/>
        </w:rPr>
        <w:t xml:space="preserve">dığı anlaşılmaktadır. </w:t>
      </w:r>
    </w:p>
    <w:p w:rsidR="00296EEF" w:rsidRPr="002B7ACD" w:rsidRDefault="003A3898" w:rsidP="002A4025">
      <w:pPr>
        <w:spacing w:after="120"/>
        <w:ind w:firstLine="425"/>
        <w:jc w:val="both"/>
        <w:rPr>
          <w:rFonts w:ascii="Calibri" w:hAnsi="Calibri"/>
          <w:color w:val="000000" w:themeColor="text1"/>
        </w:rPr>
      </w:pPr>
      <w:r w:rsidRPr="001B72CE">
        <w:rPr>
          <w:rFonts w:ascii="Calibri" w:hAnsi="Calibri"/>
        </w:rPr>
        <w:t xml:space="preserve">Yıllardır </w:t>
      </w:r>
      <w:r w:rsidR="00B943B0">
        <w:rPr>
          <w:rFonts w:ascii="Calibri" w:hAnsi="Calibri"/>
        </w:rPr>
        <w:t xml:space="preserve">eğitime </w:t>
      </w:r>
      <w:r w:rsidR="00FF237D" w:rsidRPr="001B72CE">
        <w:rPr>
          <w:rFonts w:ascii="Calibri" w:hAnsi="Calibri"/>
        </w:rPr>
        <w:t xml:space="preserve">ayrılan </w:t>
      </w:r>
      <w:r w:rsidR="003722A5" w:rsidRPr="002B7ACD">
        <w:rPr>
          <w:rFonts w:ascii="Calibri" w:hAnsi="Calibri"/>
          <w:color w:val="000000" w:themeColor="text1"/>
        </w:rPr>
        <w:t>ödenek</w:t>
      </w:r>
      <w:r w:rsidR="008C5B9A" w:rsidRPr="002B7ACD">
        <w:rPr>
          <w:rFonts w:ascii="Calibri" w:hAnsi="Calibri"/>
          <w:color w:val="000000" w:themeColor="text1"/>
        </w:rPr>
        <w:t>ler</w:t>
      </w:r>
      <w:r w:rsidR="003722A5" w:rsidRPr="002B7ACD">
        <w:rPr>
          <w:rFonts w:ascii="Calibri" w:hAnsi="Calibri"/>
          <w:color w:val="000000" w:themeColor="text1"/>
        </w:rPr>
        <w:t xml:space="preserve"> yüksek enflasyon karşısında</w:t>
      </w:r>
      <w:r w:rsidR="00B943B0" w:rsidRPr="002B7ACD">
        <w:rPr>
          <w:rFonts w:ascii="Calibri" w:hAnsi="Calibri"/>
          <w:color w:val="000000" w:themeColor="text1"/>
        </w:rPr>
        <w:t xml:space="preserve"> </w:t>
      </w:r>
      <w:r w:rsidR="00FF237D" w:rsidRPr="001B72CE">
        <w:rPr>
          <w:rFonts w:ascii="Calibri" w:hAnsi="Calibri"/>
        </w:rPr>
        <w:t xml:space="preserve">sadece </w:t>
      </w:r>
      <w:r w:rsidR="00CD2562" w:rsidRPr="001B72CE">
        <w:rPr>
          <w:rFonts w:ascii="Calibri" w:hAnsi="Calibri"/>
        </w:rPr>
        <w:t xml:space="preserve">rakamsal olarak </w:t>
      </w:r>
      <w:r w:rsidR="00FF237D" w:rsidRPr="001B72CE">
        <w:rPr>
          <w:rFonts w:ascii="Calibri" w:hAnsi="Calibri"/>
        </w:rPr>
        <w:t xml:space="preserve">artmakta, </w:t>
      </w:r>
      <w:r w:rsidR="00F3004A">
        <w:rPr>
          <w:rFonts w:ascii="Calibri" w:hAnsi="Calibri"/>
        </w:rPr>
        <w:t xml:space="preserve">doğrudan </w:t>
      </w:r>
      <w:r w:rsidR="00D0240E" w:rsidRPr="001B72CE">
        <w:rPr>
          <w:rFonts w:ascii="Calibri" w:hAnsi="Calibri"/>
        </w:rPr>
        <w:t>eğitim</w:t>
      </w:r>
      <w:r w:rsidR="00F3004A">
        <w:rPr>
          <w:rFonts w:ascii="Calibri" w:hAnsi="Calibri"/>
        </w:rPr>
        <w:t xml:space="preserve"> hizmetlerine </w:t>
      </w:r>
      <w:r w:rsidR="00D0240E" w:rsidRPr="001B72CE">
        <w:rPr>
          <w:rFonts w:ascii="Calibri" w:hAnsi="Calibri"/>
        </w:rPr>
        <w:t xml:space="preserve">yönelik </w:t>
      </w:r>
      <w:r w:rsidR="00FF237D" w:rsidRPr="001B72CE">
        <w:rPr>
          <w:rFonts w:ascii="Calibri" w:hAnsi="Calibri"/>
        </w:rPr>
        <w:t xml:space="preserve">yatırımlar açısından </w:t>
      </w:r>
      <w:r w:rsidR="007C6A8E">
        <w:rPr>
          <w:rFonts w:ascii="Calibri" w:hAnsi="Calibri"/>
        </w:rPr>
        <w:t xml:space="preserve">hazırlanan merkezi </w:t>
      </w:r>
      <w:r w:rsidR="00B943B0">
        <w:rPr>
          <w:rFonts w:ascii="Calibri" w:hAnsi="Calibri"/>
        </w:rPr>
        <w:t xml:space="preserve">bütçelerde </w:t>
      </w:r>
      <w:r w:rsidR="003F461F">
        <w:rPr>
          <w:rFonts w:ascii="Calibri" w:hAnsi="Calibri"/>
        </w:rPr>
        <w:t xml:space="preserve">gerçek anlamda </w:t>
      </w:r>
      <w:r w:rsidR="003722A5" w:rsidRPr="002B7ACD">
        <w:rPr>
          <w:rFonts w:ascii="Calibri" w:hAnsi="Calibri"/>
          <w:color w:val="000000" w:themeColor="text1"/>
        </w:rPr>
        <w:t>reel</w:t>
      </w:r>
      <w:r w:rsidR="003722A5">
        <w:rPr>
          <w:rFonts w:ascii="Calibri" w:hAnsi="Calibri"/>
        </w:rPr>
        <w:t xml:space="preserve"> </w:t>
      </w:r>
      <w:r w:rsidR="003F461F">
        <w:rPr>
          <w:rFonts w:ascii="Calibri" w:hAnsi="Calibri"/>
        </w:rPr>
        <w:t>bir artış</w:t>
      </w:r>
      <w:r w:rsidR="00F3004A">
        <w:rPr>
          <w:rFonts w:ascii="Calibri" w:hAnsi="Calibri"/>
        </w:rPr>
        <w:t xml:space="preserve">ın </w:t>
      </w:r>
      <w:r w:rsidR="001E27CA">
        <w:rPr>
          <w:rFonts w:ascii="Calibri" w:hAnsi="Calibri"/>
        </w:rPr>
        <w:t xml:space="preserve">yapılmadığı </w:t>
      </w:r>
      <w:r w:rsidR="00F3004A">
        <w:rPr>
          <w:rFonts w:ascii="Calibri" w:hAnsi="Calibri"/>
        </w:rPr>
        <w:t xml:space="preserve">görülmektedir. </w:t>
      </w:r>
      <w:r w:rsidR="00EE3D35">
        <w:rPr>
          <w:rFonts w:ascii="Calibri" w:hAnsi="Calibri"/>
        </w:rPr>
        <w:t xml:space="preserve">2021 yılında </w:t>
      </w:r>
      <w:r w:rsidR="00EE3D35" w:rsidRPr="00EE3D35">
        <w:rPr>
          <w:rFonts w:ascii="Calibri" w:hAnsi="Calibri"/>
          <w:b/>
        </w:rPr>
        <w:t>146 milyar 920 milyon TL</w:t>
      </w:r>
      <w:r w:rsidR="007C6A8E">
        <w:rPr>
          <w:rFonts w:ascii="Calibri" w:hAnsi="Calibri"/>
          <w:b/>
        </w:rPr>
        <w:t xml:space="preserve"> </w:t>
      </w:r>
      <w:r w:rsidR="007C6A8E" w:rsidRPr="007C6A8E">
        <w:rPr>
          <w:rFonts w:ascii="Calibri" w:hAnsi="Calibri"/>
        </w:rPr>
        <w:t>olarak</w:t>
      </w:r>
      <w:r w:rsidR="007C6A8E">
        <w:rPr>
          <w:rFonts w:ascii="Calibri" w:hAnsi="Calibri"/>
          <w:b/>
        </w:rPr>
        <w:t xml:space="preserve"> </w:t>
      </w:r>
      <w:r w:rsidR="007C6A8E" w:rsidRPr="007C6A8E">
        <w:rPr>
          <w:rFonts w:ascii="Calibri" w:hAnsi="Calibri"/>
        </w:rPr>
        <w:t>belirlenen</w:t>
      </w:r>
      <w:r w:rsidR="007C6A8E">
        <w:rPr>
          <w:rFonts w:ascii="Calibri" w:hAnsi="Calibri"/>
        </w:rPr>
        <w:t xml:space="preserve"> MEB bütçesi</w:t>
      </w:r>
      <w:r w:rsidR="00417D9B">
        <w:rPr>
          <w:rFonts w:ascii="Calibri" w:hAnsi="Calibri"/>
        </w:rPr>
        <w:t>,</w:t>
      </w:r>
      <w:r w:rsidR="007C6A8E">
        <w:rPr>
          <w:rFonts w:ascii="Calibri" w:hAnsi="Calibri"/>
        </w:rPr>
        <w:t xml:space="preserve"> 2022 yılı için </w:t>
      </w:r>
      <w:r w:rsidR="00CA62A6">
        <w:rPr>
          <w:rFonts w:ascii="Calibri" w:hAnsi="Calibri"/>
          <w:b/>
        </w:rPr>
        <w:t>189</w:t>
      </w:r>
      <w:r w:rsidR="007C6A8E" w:rsidRPr="007C6A8E">
        <w:rPr>
          <w:rFonts w:ascii="Calibri" w:hAnsi="Calibri"/>
          <w:b/>
        </w:rPr>
        <w:t xml:space="preserve"> milyar 1</w:t>
      </w:r>
      <w:r w:rsidR="00CA62A6">
        <w:rPr>
          <w:rFonts w:ascii="Calibri" w:hAnsi="Calibri"/>
          <w:b/>
        </w:rPr>
        <w:t>1</w:t>
      </w:r>
      <w:r w:rsidR="007C6A8E" w:rsidRPr="007C6A8E">
        <w:rPr>
          <w:rFonts w:ascii="Calibri" w:hAnsi="Calibri"/>
          <w:b/>
        </w:rPr>
        <w:t xml:space="preserve"> milyon TL</w:t>
      </w:r>
      <w:r w:rsidR="007C6A8E">
        <w:rPr>
          <w:rFonts w:ascii="Calibri" w:hAnsi="Calibri"/>
        </w:rPr>
        <w:t xml:space="preserve">’ye </w:t>
      </w:r>
      <w:r w:rsidR="00EE3D35">
        <w:rPr>
          <w:rFonts w:ascii="Calibri" w:hAnsi="Calibri"/>
        </w:rPr>
        <w:t xml:space="preserve">yükselmiştir. </w:t>
      </w:r>
      <w:r w:rsidR="001E27CA">
        <w:rPr>
          <w:rFonts w:ascii="Calibri" w:hAnsi="Calibri"/>
        </w:rPr>
        <w:t>MEB bütçesin</w:t>
      </w:r>
      <w:r w:rsidR="007A403A">
        <w:rPr>
          <w:rFonts w:ascii="Calibri" w:hAnsi="Calibri"/>
        </w:rPr>
        <w:t xml:space="preserve">in her yıl olduğu gibi </w:t>
      </w:r>
      <w:r w:rsidR="001E27CA">
        <w:rPr>
          <w:rFonts w:ascii="Calibri" w:hAnsi="Calibri"/>
        </w:rPr>
        <w:t>rakamsal olarak art</w:t>
      </w:r>
      <w:r w:rsidR="007A403A">
        <w:rPr>
          <w:rFonts w:ascii="Calibri" w:hAnsi="Calibri"/>
        </w:rPr>
        <w:t xml:space="preserve">tığı görülse de </w:t>
      </w:r>
      <w:r w:rsidR="001E27CA">
        <w:rPr>
          <w:rFonts w:ascii="Calibri" w:hAnsi="Calibri"/>
        </w:rPr>
        <w:t xml:space="preserve">MEB bütçesinin </w:t>
      </w:r>
      <w:r w:rsidR="00296EEF">
        <w:rPr>
          <w:rFonts w:ascii="Calibri" w:hAnsi="Calibri"/>
        </w:rPr>
        <w:t xml:space="preserve">merkezi yönetim </w:t>
      </w:r>
      <w:r w:rsidR="001E27CA">
        <w:rPr>
          <w:rFonts w:ascii="Calibri" w:hAnsi="Calibri"/>
        </w:rPr>
        <w:t>bütçe</w:t>
      </w:r>
      <w:r w:rsidR="00296EEF">
        <w:rPr>
          <w:rFonts w:ascii="Calibri" w:hAnsi="Calibri"/>
        </w:rPr>
        <w:t xml:space="preserve">sine </w:t>
      </w:r>
      <w:r w:rsidR="001E27CA">
        <w:rPr>
          <w:rFonts w:ascii="Calibri" w:hAnsi="Calibri"/>
        </w:rPr>
        <w:t>oranı 20</w:t>
      </w:r>
      <w:r w:rsidR="007A403A">
        <w:rPr>
          <w:rFonts w:ascii="Calibri" w:hAnsi="Calibri"/>
        </w:rPr>
        <w:t>2</w:t>
      </w:r>
      <w:r w:rsidR="002A4025">
        <w:rPr>
          <w:rFonts w:ascii="Calibri" w:hAnsi="Calibri"/>
        </w:rPr>
        <w:t>1</w:t>
      </w:r>
      <w:r w:rsidR="00CA62A6">
        <w:rPr>
          <w:rFonts w:ascii="Calibri" w:hAnsi="Calibri"/>
        </w:rPr>
        <w:t>’de</w:t>
      </w:r>
      <w:r w:rsidR="001E27CA">
        <w:rPr>
          <w:rFonts w:ascii="Calibri" w:hAnsi="Calibri"/>
        </w:rPr>
        <w:t xml:space="preserve"> </w:t>
      </w:r>
      <w:r w:rsidR="007A403A" w:rsidRPr="007A403A">
        <w:rPr>
          <w:rFonts w:ascii="Calibri" w:hAnsi="Calibri"/>
          <w:b/>
        </w:rPr>
        <w:t xml:space="preserve">yüzde </w:t>
      </w:r>
      <w:r w:rsidR="002A4025">
        <w:rPr>
          <w:rFonts w:ascii="Calibri" w:hAnsi="Calibri"/>
          <w:b/>
        </w:rPr>
        <w:t>10,69</w:t>
      </w:r>
      <w:r w:rsidR="007C6A8E" w:rsidRPr="007C6A8E">
        <w:rPr>
          <w:rFonts w:ascii="Calibri" w:hAnsi="Calibri"/>
        </w:rPr>
        <w:t>,</w:t>
      </w:r>
      <w:r w:rsidR="007C6A8E">
        <w:rPr>
          <w:rFonts w:ascii="Calibri" w:hAnsi="Calibri"/>
          <w:b/>
        </w:rPr>
        <w:t xml:space="preserve"> 2022’de 10,</w:t>
      </w:r>
      <w:r w:rsidR="00CA62A6">
        <w:rPr>
          <w:rFonts w:ascii="Calibri" w:hAnsi="Calibri"/>
          <w:b/>
        </w:rPr>
        <w:t xml:space="preserve">79 </w:t>
      </w:r>
      <w:r w:rsidR="00CA62A6" w:rsidRPr="00CA62A6">
        <w:rPr>
          <w:rFonts w:ascii="Calibri" w:hAnsi="Calibri"/>
        </w:rPr>
        <w:t>olmuştur.</w:t>
      </w:r>
      <w:r w:rsidR="00CA62A6">
        <w:rPr>
          <w:rFonts w:ascii="Calibri" w:hAnsi="Calibri"/>
          <w:b/>
        </w:rPr>
        <w:t xml:space="preserve"> </w:t>
      </w:r>
      <w:r w:rsidR="00296EEF">
        <w:rPr>
          <w:rFonts w:ascii="Calibri" w:hAnsi="Calibri"/>
        </w:rPr>
        <w:t xml:space="preserve">MEB bütçesinin </w:t>
      </w:r>
      <w:r w:rsidR="00CA62A6">
        <w:rPr>
          <w:rFonts w:ascii="Calibri" w:hAnsi="Calibri"/>
        </w:rPr>
        <w:t xml:space="preserve">2022 yılı </w:t>
      </w:r>
      <w:r w:rsidR="00296EEF">
        <w:rPr>
          <w:rFonts w:ascii="Calibri" w:hAnsi="Calibri"/>
        </w:rPr>
        <w:t xml:space="preserve">milli gelire oranında </w:t>
      </w:r>
      <w:r w:rsidR="002A4025">
        <w:rPr>
          <w:rFonts w:ascii="Calibri" w:hAnsi="Calibri"/>
        </w:rPr>
        <w:t xml:space="preserve">ise </w:t>
      </w:r>
      <w:r w:rsidR="00222AE5">
        <w:rPr>
          <w:rFonts w:ascii="Calibri" w:hAnsi="Calibri"/>
        </w:rPr>
        <w:t>2021’e göre azalma olduğu görülmektedir.</w:t>
      </w:r>
      <w:r w:rsidR="003722A5">
        <w:rPr>
          <w:rFonts w:ascii="Calibri" w:hAnsi="Calibri"/>
        </w:rPr>
        <w:t xml:space="preserve"> </w:t>
      </w:r>
      <w:r w:rsidR="003722A5" w:rsidRPr="002B7ACD">
        <w:rPr>
          <w:rFonts w:ascii="Calibri" w:hAnsi="Calibri"/>
          <w:color w:val="000000" w:themeColor="text1"/>
        </w:rPr>
        <w:t xml:space="preserve">Anlaşılan odur ki </w:t>
      </w:r>
      <w:r w:rsidR="008C5B9A" w:rsidRPr="002B7ACD">
        <w:rPr>
          <w:rFonts w:ascii="Calibri" w:hAnsi="Calibri"/>
          <w:color w:val="000000" w:themeColor="text1"/>
        </w:rPr>
        <w:t xml:space="preserve">MEB </w:t>
      </w:r>
      <w:r w:rsidR="003722A5" w:rsidRPr="002B7ACD">
        <w:rPr>
          <w:rFonts w:ascii="Calibri" w:hAnsi="Calibri"/>
          <w:color w:val="000000" w:themeColor="text1"/>
        </w:rPr>
        <w:t>iki yıla yakın bir sürede öğrenme kayıplarını ortadan kaldırmak</w:t>
      </w:r>
      <w:r w:rsidR="00417D9B">
        <w:rPr>
          <w:rFonts w:ascii="Calibri" w:hAnsi="Calibri"/>
          <w:color w:val="000000" w:themeColor="text1"/>
        </w:rPr>
        <w:t>,</w:t>
      </w:r>
      <w:r w:rsidR="003722A5" w:rsidRPr="002B7ACD">
        <w:rPr>
          <w:rFonts w:ascii="Calibri" w:hAnsi="Calibri"/>
          <w:color w:val="000000" w:themeColor="text1"/>
        </w:rPr>
        <w:t xml:space="preserve"> eğitimde niteliği artırmak ve COVID-19 salgını koşullarında </w:t>
      </w:r>
      <w:r w:rsidR="008C5B9A" w:rsidRPr="002B7ACD">
        <w:rPr>
          <w:rFonts w:ascii="Calibri" w:hAnsi="Calibri"/>
          <w:color w:val="000000" w:themeColor="text1"/>
        </w:rPr>
        <w:t>yeni derslik</w:t>
      </w:r>
      <w:r w:rsidR="00417D9B">
        <w:rPr>
          <w:rFonts w:ascii="Calibri" w:hAnsi="Calibri"/>
          <w:color w:val="000000" w:themeColor="text1"/>
        </w:rPr>
        <w:t xml:space="preserve"> ve eğitim emekçisi</w:t>
      </w:r>
      <w:r w:rsidR="008C5B9A" w:rsidRPr="002B7ACD">
        <w:rPr>
          <w:rFonts w:ascii="Calibri" w:hAnsi="Calibri"/>
          <w:color w:val="000000" w:themeColor="text1"/>
        </w:rPr>
        <w:t xml:space="preserve"> ihtiyacını karşılayarak </w:t>
      </w:r>
      <w:r w:rsidR="003722A5" w:rsidRPr="002B7ACD">
        <w:rPr>
          <w:rFonts w:ascii="Calibri" w:hAnsi="Calibri"/>
          <w:color w:val="000000" w:themeColor="text1"/>
        </w:rPr>
        <w:t>yüz yüze eğitimi</w:t>
      </w:r>
      <w:r w:rsidR="00222AE5" w:rsidRPr="002B7ACD">
        <w:rPr>
          <w:rFonts w:ascii="Calibri" w:hAnsi="Calibri"/>
          <w:color w:val="000000" w:themeColor="text1"/>
        </w:rPr>
        <w:t xml:space="preserve"> </w:t>
      </w:r>
      <w:r w:rsidR="003722A5" w:rsidRPr="002B7ACD">
        <w:rPr>
          <w:rFonts w:ascii="Calibri" w:hAnsi="Calibri"/>
          <w:color w:val="000000" w:themeColor="text1"/>
        </w:rPr>
        <w:t>sürekli kılmak için etkin bir çaba içinde olmayacaktır.</w:t>
      </w:r>
    </w:p>
    <w:p w:rsidR="00D167BC" w:rsidRPr="00D167BC" w:rsidRDefault="00D167BC" w:rsidP="002A4025">
      <w:pPr>
        <w:spacing w:after="120"/>
        <w:ind w:firstLine="425"/>
        <w:jc w:val="both"/>
        <w:rPr>
          <w:rFonts w:ascii="Calibri" w:hAnsi="Calibri"/>
          <w:sz w:val="16"/>
          <w:szCs w:val="16"/>
        </w:rPr>
      </w:pPr>
    </w:p>
    <w:p w:rsidR="00296EEF" w:rsidRDefault="009F7AA9" w:rsidP="00296EEF">
      <w:pPr>
        <w:jc w:val="center"/>
        <w:rPr>
          <w:rFonts w:ascii="Calibri" w:hAnsi="Calibri"/>
        </w:rPr>
      </w:pPr>
      <w:r w:rsidRPr="00EE3D35">
        <w:rPr>
          <w:rFonts w:ascii="Arial" w:hAnsi="Arial" w:cs="Arial"/>
          <w:noProof/>
          <w:color w:val="000000"/>
          <w:shd w:val="clear" w:color="auto" w:fill="FFFFFF"/>
        </w:rPr>
        <w:drawing>
          <wp:inline distT="0" distB="0" distL="0" distR="0">
            <wp:extent cx="6019800" cy="3200400"/>
            <wp:effectExtent l="0" t="0" r="0" b="0"/>
            <wp:docPr id="13" name="Nesnesi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67BC" w:rsidRDefault="00D167BC" w:rsidP="004165C5">
      <w:pPr>
        <w:pStyle w:val="GvdeMetni"/>
        <w:spacing w:line="240" w:lineRule="auto"/>
        <w:ind w:firstLine="357"/>
        <w:rPr>
          <w:rFonts w:ascii="Calibri" w:hAnsi="Calibri"/>
          <w:bCs/>
          <w:sz w:val="24"/>
          <w:szCs w:val="24"/>
        </w:rPr>
      </w:pPr>
    </w:p>
    <w:p w:rsidR="00E03883" w:rsidRDefault="006E2951" w:rsidP="004165C5">
      <w:pPr>
        <w:pStyle w:val="GvdeMetni"/>
        <w:spacing w:line="240" w:lineRule="auto"/>
        <w:ind w:firstLine="357"/>
        <w:rPr>
          <w:rFonts w:ascii="Calibri" w:hAnsi="Calibri"/>
          <w:bCs/>
          <w:sz w:val="24"/>
          <w:szCs w:val="24"/>
        </w:rPr>
      </w:pPr>
      <w:r>
        <w:rPr>
          <w:rFonts w:ascii="Calibri" w:hAnsi="Calibri"/>
          <w:bCs/>
          <w:sz w:val="24"/>
          <w:szCs w:val="24"/>
        </w:rPr>
        <w:t>Her fırsatta eğitime en çok payı kendilerinin ayırdığını iddia eden AKP hükümetleri döneminde</w:t>
      </w:r>
      <w:r w:rsidR="00417D9B">
        <w:rPr>
          <w:rFonts w:ascii="Calibri" w:hAnsi="Calibri"/>
          <w:bCs/>
          <w:sz w:val="24"/>
          <w:szCs w:val="24"/>
        </w:rPr>
        <w:t>,</w:t>
      </w:r>
      <w:r>
        <w:rPr>
          <w:rFonts w:ascii="Calibri" w:hAnsi="Calibri"/>
          <w:bCs/>
          <w:sz w:val="24"/>
          <w:szCs w:val="24"/>
        </w:rPr>
        <w:t xml:space="preserve"> eğitim bütçesinin milli gelire oranı </w:t>
      </w:r>
      <w:r w:rsidRPr="001B72CE">
        <w:rPr>
          <w:rFonts w:ascii="Calibri" w:hAnsi="Calibri"/>
          <w:bCs/>
          <w:sz w:val="24"/>
          <w:szCs w:val="24"/>
        </w:rPr>
        <w:t xml:space="preserve">OECD ortalaması olan </w:t>
      </w:r>
      <w:r w:rsidRPr="00A1528C">
        <w:rPr>
          <w:rFonts w:ascii="Calibri" w:hAnsi="Calibri"/>
          <w:bCs/>
          <w:sz w:val="24"/>
          <w:szCs w:val="24"/>
        </w:rPr>
        <w:t>yüzde 6</w:t>
      </w:r>
      <w:r w:rsidRPr="001B72CE">
        <w:rPr>
          <w:rFonts w:ascii="Calibri" w:hAnsi="Calibri"/>
          <w:bCs/>
          <w:sz w:val="24"/>
          <w:szCs w:val="24"/>
        </w:rPr>
        <w:t>’</w:t>
      </w:r>
      <w:r>
        <w:rPr>
          <w:rFonts w:ascii="Calibri" w:hAnsi="Calibri"/>
          <w:bCs/>
          <w:sz w:val="24"/>
          <w:szCs w:val="24"/>
        </w:rPr>
        <w:t>nın</w:t>
      </w:r>
      <w:r w:rsidR="002A4025">
        <w:rPr>
          <w:rFonts w:ascii="Calibri" w:hAnsi="Calibri"/>
          <w:bCs/>
          <w:sz w:val="24"/>
          <w:szCs w:val="24"/>
        </w:rPr>
        <w:t xml:space="preserve"> </w:t>
      </w:r>
      <w:r w:rsidR="00222AE5">
        <w:rPr>
          <w:rFonts w:ascii="Calibri" w:hAnsi="Calibri"/>
          <w:bCs/>
          <w:sz w:val="24"/>
          <w:szCs w:val="24"/>
        </w:rPr>
        <w:t xml:space="preserve">yarısına bile ulaşmamıştır. </w:t>
      </w:r>
      <w:r w:rsidR="001D1FA1" w:rsidRPr="001B72CE">
        <w:rPr>
          <w:rFonts w:ascii="Calibri" w:hAnsi="Calibri"/>
          <w:bCs/>
          <w:sz w:val="24"/>
          <w:szCs w:val="24"/>
        </w:rPr>
        <w:t xml:space="preserve">Geçtiğimiz </w:t>
      </w:r>
      <w:r w:rsidR="00222AE5">
        <w:rPr>
          <w:rFonts w:ascii="Calibri" w:hAnsi="Calibri"/>
          <w:bCs/>
          <w:sz w:val="24"/>
          <w:szCs w:val="24"/>
        </w:rPr>
        <w:t>19</w:t>
      </w:r>
      <w:r w:rsidR="001D1FA1" w:rsidRPr="001B72CE">
        <w:rPr>
          <w:rFonts w:ascii="Calibri" w:hAnsi="Calibri"/>
          <w:bCs/>
          <w:sz w:val="24"/>
          <w:szCs w:val="24"/>
        </w:rPr>
        <w:t xml:space="preserve"> yıl içinde MEB bütçesinin milli gelire oranı</w:t>
      </w:r>
      <w:r w:rsidR="00B943B0">
        <w:rPr>
          <w:rFonts w:ascii="Calibri" w:hAnsi="Calibri"/>
          <w:bCs/>
          <w:sz w:val="24"/>
          <w:szCs w:val="24"/>
        </w:rPr>
        <w:t xml:space="preserve"> </w:t>
      </w:r>
      <w:r w:rsidR="00A50240">
        <w:rPr>
          <w:rFonts w:ascii="Calibri" w:hAnsi="Calibri"/>
          <w:bCs/>
          <w:sz w:val="24"/>
          <w:szCs w:val="24"/>
        </w:rPr>
        <w:t xml:space="preserve">çok az </w:t>
      </w:r>
      <w:r w:rsidR="00B943B0">
        <w:rPr>
          <w:rFonts w:ascii="Calibri" w:hAnsi="Calibri"/>
          <w:bCs/>
          <w:sz w:val="24"/>
          <w:szCs w:val="24"/>
        </w:rPr>
        <w:t xml:space="preserve">artmış olmasına rağmen, belirlenen rakamlar ihtiyacın çok altında kalmış ve eğitim harcamalarının esas yükü, </w:t>
      </w:r>
      <w:r w:rsidR="00A50240">
        <w:rPr>
          <w:rFonts w:ascii="Calibri" w:hAnsi="Calibri"/>
          <w:bCs/>
          <w:sz w:val="24"/>
          <w:szCs w:val="24"/>
        </w:rPr>
        <w:t xml:space="preserve">büyük ölçüde </w:t>
      </w:r>
      <w:r>
        <w:rPr>
          <w:rFonts w:ascii="Calibri" w:hAnsi="Calibri"/>
          <w:bCs/>
          <w:sz w:val="24"/>
          <w:szCs w:val="24"/>
        </w:rPr>
        <w:t xml:space="preserve">velilerin </w:t>
      </w:r>
      <w:r w:rsidR="00B943B0">
        <w:rPr>
          <w:rFonts w:ascii="Calibri" w:hAnsi="Calibri"/>
          <w:bCs/>
          <w:sz w:val="24"/>
          <w:szCs w:val="24"/>
        </w:rPr>
        <w:t xml:space="preserve">sırtına yıkılmıştır. </w:t>
      </w:r>
    </w:p>
    <w:p w:rsidR="008C5B9A" w:rsidRDefault="008C5B9A" w:rsidP="004165C5">
      <w:pPr>
        <w:tabs>
          <w:tab w:val="left" w:pos="0"/>
        </w:tabs>
        <w:rPr>
          <w:rFonts w:ascii="Calibri" w:hAnsi="Calibri"/>
          <w:b/>
          <w:color w:val="000000" w:themeColor="text1"/>
        </w:rPr>
      </w:pPr>
    </w:p>
    <w:p w:rsidR="00732B1B" w:rsidRDefault="00732B1B" w:rsidP="004165C5">
      <w:pPr>
        <w:tabs>
          <w:tab w:val="left" w:pos="0"/>
        </w:tabs>
        <w:rPr>
          <w:rFonts w:ascii="Calibri" w:hAnsi="Calibri"/>
          <w:b/>
          <w:color w:val="000000" w:themeColor="text1"/>
        </w:rPr>
      </w:pPr>
    </w:p>
    <w:p w:rsidR="00DC501F" w:rsidRPr="002A4025" w:rsidRDefault="008331E2" w:rsidP="004165C5">
      <w:pPr>
        <w:tabs>
          <w:tab w:val="left" w:pos="0"/>
        </w:tabs>
        <w:rPr>
          <w:rFonts w:ascii="Calibri" w:hAnsi="Calibri"/>
          <w:b/>
          <w:color w:val="000000" w:themeColor="text1"/>
        </w:rPr>
      </w:pPr>
      <w:r w:rsidRPr="002A4025">
        <w:rPr>
          <w:rFonts w:ascii="Calibri" w:hAnsi="Calibri"/>
          <w:b/>
          <w:color w:val="000000" w:themeColor="text1"/>
        </w:rPr>
        <w:lastRenderedPageBreak/>
        <w:t>MEB BÜTÇESİNİN BÜYÜK BÖLÜMÜ</w:t>
      </w:r>
      <w:r>
        <w:rPr>
          <w:rFonts w:ascii="Calibri" w:hAnsi="Calibri"/>
          <w:b/>
          <w:color w:val="000000" w:themeColor="text1"/>
        </w:rPr>
        <w:t>NÜ</w:t>
      </w:r>
      <w:r w:rsidRPr="002A4025">
        <w:rPr>
          <w:rFonts w:ascii="Calibri" w:hAnsi="Calibri"/>
          <w:b/>
          <w:color w:val="000000" w:themeColor="text1"/>
        </w:rPr>
        <w:t xml:space="preserve"> </w:t>
      </w:r>
      <w:r>
        <w:rPr>
          <w:rFonts w:ascii="Calibri" w:hAnsi="Calibri"/>
          <w:b/>
          <w:color w:val="000000" w:themeColor="text1"/>
        </w:rPr>
        <w:t xml:space="preserve">PERSONEL GİDERLERİ OLUŞTURMAKTADIR </w:t>
      </w:r>
    </w:p>
    <w:p w:rsidR="00DC501F" w:rsidRPr="004165C5" w:rsidRDefault="00DC501F" w:rsidP="00DC501F">
      <w:pPr>
        <w:tabs>
          <w:tab w:val="left" w:pos="0"/>
        </w:tabs>
        <w:jc w:val="both"/>
        <w:rPr>
          <w:rFonts w:ascii="Calibri" w:hAnsi="Calibri"/>
          <w:sz w:val="20"/>
          <w:szCs w:val="16"/>
        </w:rPr>
      </w:pPr>
    </w:p>
    <w:p w:rsidR="00296EEF" w:rsidRDefault="00125728" w:rsidP="00540FAB">
      <w:pPr>
        <w:tabs>
          <w:tab w:val="left" w:pos="0"/>
        </w:tabs>
        <w:ind w:firstLine="357"/>
        <w:jc w:val="both"/>
        <w:rPr>
          <w:rFonts w:ascii="Calibri" w:hAnsi="Calibri"/>
        </w:rPr>
      </w:pPr>
      <w:r w:rsidRPr="001B72CE">
        <w:rPr>
          <w:rFonts w:ascii="Calibri" w:hAnsi="Calibri"/>
        </w:rPr>
        <w:t xml:space="preserve">MEB bütçesinin </w:t>
      </w:r>
      <w:r w:rsidR="008C5B9A" w:rsidRPr="002B7ACD">
        <w:rPr>
          <w:rFonts w:ascii="Calibri" w:hAnsi="Calibri"/>
          <w:color w:val="000000" w:themeColor="text1"/>
        </w:rPr>
        <w:t>Merkezi Yönetim Bütçesi içindeki</w:t>
      </w:r>
      <w:r w:rsidR="00F92256" w:rsidRPr="002B7ACD">
        <w:rPr>
          <w:rFonts w:ascii="Calibri" w:hAnsi="Calibri"/>
          <w:color w:val="000000" w:themeColor="text1"/>
        </w:rPr>
        <w:t xml:space="preserve"> </w:t>
      </w:r>
      <w:r w:rsidRPr="001B72CE">
        <w:rPr>
          <w:rFonts w:ascii="Calibri" w:hAnsi="Calibri"/>
        </w:rPr>
        <w:t xml:space="preserve">büyüklüğünün temel nedeni, </w:t>
      </w:r>
      <w:r w:rsidR="002A4025">
        <w:rPr>
          <w:rFonts w:ascii="Calibri" w:hAnsi="Calibri"/>
        </w:rPr>
        <w:t xml:space="preserve">iktidarın </w:t>
      </w:r>
      <w:r w:rsidRPr="001B72CE">
        <w:rPr>
          <w:rFonts w:ascii="Calibri" w:hAnsi="Calibri"/>
        </w:rPr>
        <w:t>eğitime verdiği önemden değil, büyük ölçüde personel</w:t>
      </w:r>
      <w:r w:rsidR="002A4025">
        <w:rPr>
          <w:rFonts w:ascii="Calibri" w:hAnsi="Calibri"/>
        </w:rPr>
        <w:t xml:space="preserve">e yapılan zorunlu </w:t>
      </w:r>
      <w:r w:rsidRPr="001B72CE">
        <w:rPr>
          <w:rFonts w:ascii="Calibri" w:hAnsi="Calibri"/>
        </w:rPr>
        <w:t xml:space="preserve">harcamalardan kaynaklanmaktadır. Bu durumun farkında olan MEB, eğitim emekçilerini esnek, kuralsız ve güvencesiz çalıştırmak için gece gündüz çalışmakta, </w:t>
      </w:r>
      <w:r w:rsidR="003F461F">
        <w:rPr>
          <w:rFonts w:ascii="Calibri" w:hAnsi="Calibri"/>
        </w:rPr>
        <w:t xml:space="preserve">sözleşmeli </w:t>
      </w:r>
      <w:r w:rsidR="00296EEF">
        <w:rPr>
          <w:rFonts w:ascii="Calibri" w:hAnsi="Calibri"/>
        </w:rPr>
        <w:t xml:space="preserve">ve ücretli </w:t>
      </w:r>
      <w:r w:rsidR="003F461F">
        <w:rPr>
          <w:rFonts w:ascii="Calibri" w:hAnsi="Calibri"/>
        </w:rPr>
        <w:t>öğretmenlik uygulaması</w:t>
      </w:r>
      <w:r w:rsidR="006E2951">
        <w:rPr>
          <w:rFonts w:ascii="Calibri" w:hAnsi="Calibri"/>
        </w:rPr>
        <w:t>nda ısrar e</w:t>
      </w:r>
      <w:r w:rsidR="00540FAB">
        <w:rPr>
          <w:rFonts w:ascii="Calibri" w:hAnsi="Calibri"/>
        </w:rPr>
        <w:t xml:space="preserve">tmeyi sürdürmektedir. Okullardaki yardımcı hizmetli personel açığının giderilmemesi, salgın koşullarında yeterli bütçenin ayrılmaması uygulamasının önümüzdeki süreçte de sürdürülmesi kabul edilemez. </w:t>
      </w:r>
    </w:p>
    <w:p w:rsidR="008C5B9A" w:rsidRDefault="008C5B9A" w:rsidP="00540FAB">
      <w:pPr>
        <w:tabs>
          <w:tab w:val="left" w:pos="0"/>
        </w:tabs>
        <w:ind w:firstLine="357"/>
        <w:jc w:val="both"/>
        <w:rPr>
          <w:rFonts w:ascii="Calibri" w:hAnsi="Calibri"/>
        </w:rPr>
      </w:pPr>
    </w:p>
    <w:p w:rsidR="00296EEF" w:rsidRPr="00296EEF" w:rsidRDefault="00D167BC" w:rsidP="00296EEF">
      <w:pPr>
        <w:tabs>
          <w:tab w:val="left" w:pos="0"/>
        </w:tabs>
        <w:jc w:val="center"/>
        <w:rPr>
          <w:rFonts w:ascii="Calibri" w:hAnsi="Calibri"/>
          <w:b/>
        </w:rPr>
      </w:pPr>
      <w:r>
        <w:rPr>
          <w:rFonts w:ascii="Calibri" w:hAnsi="Calibri"/>
          <w:b/>
        </w:rPr>
        <w:t>2</w:t>
      </w:r>
      <w:r w:rsidR="00EF7669">
        <w:rPr>
          <w:rFonts w:ascii="Calibri" w:hAnsi="Calibri"/>
          <w:b/>
        </w:rPr>
        <w:t>0</w:t>
      </w:r>
      <w:r w:rsidR="0035190D">
        <w:rPr>
          <w:rFonts w:ascii="Calibri" w:hAnsi="Calibri"/>
          <w:b/>
        </w:rPr>
        <w:t>2</w:t>
      </w:r>
      <w:r w:rsidR="00222AE5">
        <w:rPr>
          <w:rFonts w:ascii="Calibri" w:hAnsi="Calibri"/>
          <w:b/>
        </w:rPr>
        <w:t>2</w:t>
      </w:r>
      <w:r w:rsidR="00EF7669">
        <w:rPr>
          <w:rFonts w:ascii="Calibri" w:hAnsi="Calibri"/>
          <w:b/>
        </w:rPr>
        <w:t xml:space="preserve"> MEB BÜTÇE</w:t>
      </w:r>
      <w:r w:rsidR="001E46CF">
        <w:rPr>
          <w:rFonts w:ascii="Calibri" w:hAnsi="Calibri"/>
          <w:b/>
        </w:rPr>
        <w:t xml:space="preserve"> ÖDENEKLERİNİN </w:t>
      </w:r>
      <w:r w:rsidR="00296EEF" w:rsidRPr="00296EEF">
        <w:rPr>
          <w:rFonts w:ascii="Calibri" w:hAnsi="Calibri"/>
          <w:b/>
        </w:rPr>
        <w:t>DAĞILIMI</w:t>
      </w:r>
    </w:p>
    <w:p w:rsidR="00296EEF" w:rsidRDefault="009F7AA9" w:rsidP="002A4025">
      <w:pPr>
        <w:tabs>
          <w:tab w:val="left" w:pos="0"/>
        </w:tabs>
        <w:jc w:val="center"/>
        <w:rPr>
          <w:rFonts w:ascii="Calibri" w:hAnsi="Calibri"/>
        </w:rPr>
      </w:pPr>
      <w:r w:rsidRPr="002A4025">
        <w:rPr>
          <w:rFonts w:ascii="Arial" w:hAnsi="Arial" w:cs="Arial"/>
          <w:noProof/>
          <w:color w:val="000000"/>
          <w:shd w:val="clear" w:color="auto" w:fill="FFFFFF"/>
        </w:rPr>
        <w:drawing>
          <wp:inline distT="0" distB="0" distL="0" distR="0">
            <wp:extent cx="4991100" cy="3095625"/>
            <wp:effectExtent l="0" t="0" r="0" b="0"/>
            <wp:docPr id="21" name="Nesnesi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1FA1" w:rsidRPr="002A4025" w:rsidRDefault="001D1FA1" w:rsidP="00C832A9">
      <w:pPr>
        <w:ind w:firstLine="357"/>
        <w:jc w:val="both"/>
        <w:rPr>
          <w:rFonts w:ascii="Calibri" w:hAnsi="Calibri"/>
        </w:rPr>
      </w:pPr>
      <w:r w:rsidRPr="002A4025">
        <w:rPr>
          <w:rFonts w:ascii="Calibri" w:hAnsi="Calibri"/>
        </w:rPr>
        <w:t>MEB bütçesinin büyük bölümü personel giderleri (</w:t>
      </w:r>
      <w:r w:rsidR="004422F6">
        <w:rPr>
          <w:rFonts w:ascii="Calibri" w:hAnsi="Calibri"/>
        </w:rPr>
        <w:t xml:space="preserve">yüzde </w:t>
      </w:r>
      <w:r w:rsidR="00296EEF" w:rsidRPr="002A4025">
        <w:rPr>
          <w:rFonts w:ascii="Calibri" w:hAnsi="Calibri"/>
        </w:rPr>
        <w:t>7</w:t>
      </w:r>
      <w:r w:rsidR="002A4025" w:rsidRPr="002A4025">
        <w:rPr>
          <w:rFonts w:ascii="Calibri" w:hAnsi="Calibri"/>
        </w:rPr>
        <w:t>0</w:t>
      </w:r>
      <w:r w:rsidRPr="002A4025">
        <w:rPr>
          <w:rFonts w:ascii="Calibri" w:hAnsi="Calibri"/>
        </w:rPr>
        <w:t xml:space="preserve">) ve sosyal güvenlik devlet primi </w:t>
      </w:r>
      <w:r w:rsidR="004422F6">
        <w:rPr>
          <w:rFonts w:ascii="Calibri" w:hAnsi="Calibri"/>
        </w:rPr>
        <w:t xml:space="preserve">giderlerine (yüzde </w:t>
      </w:r>
      <w:r w:rsidRPr="002A4025">
        <w:rPr>
          <w:rFonts w:ascii="Calibri" w:hAnsi="Calibri"/>
        </w:rPr>
        <w:t>1</w:t>
      </w:r>
      <w:r w:rsidR="00296EEF" w:rsidRPr="002A4025">
        <w:rPr>
          <w:rFonts w:ascii="Calibri" w:hAnsi="Calibri"/>
        </w:rPr>
        <w:t>1</w:t>
      </w:r>
      <w:r w:rsidRPr="002A4025">
        <w:rPr>
          <w:rFonts w:ascii="Calibri" w:hAnsi="Calibri"/>
        </w:rPr>
        <w:t xml:space="preserve">) gitmektedir. Başka bir ifadeyle, </w:t>
      </w:r>
      <w:r w:rsidR="00222AE5">
        <w:rPr>
          <w:rFonts w:ascii="Calibri" w:hAnsi="Calibri"/>
        </w:rPr>
        <w:t xml:space="preserve">her yıl </w:t>
      </w:r>
      <w:r w:rsidRPr="002A4025">
        <w:rPr>
          <w:rFonts w:ascii="Calibri" w:hAnsi="Calibri"/>
        </w:rPr>
        <w:t>eğitime bütçeden en çok payı ayırdıklarını iddia edenler, bu payın yüzde 8</w:t>
      </w:r>
      <w:r w:rsidR="002A4025" w:rsidRPr="002A4025">
        <w:rPr>
          <w:rFonts w:ascii="Calibri" w:hAnsi="Calibri"/>
        </w:rPr>
        <w:t>1</w:t>
      </w:r>
      <w:r w:rsidRPr="002A4025">
        <w:rPr>
          <w:rFonts w:ascii="Calibri" w:hAnsi="Calibri"/>
        </w:rPr>
        <w:t>’</w:t>
      </w:r>
      <w:r w:rsidR="002A4025" w:rsidRPr="002A4025">
        <w:rPr>
          <w:rFonts w:ascii="Calibri" w:hAnsi="Calibri"/>
        </w:rPr>
        <w:t xml:space="preserve">inin </w:t>
      </w:r>
      <w:r w:rsidR="003F461F" w:rsidRPr="002A4025">
        <w:rPr>
          <w:rFonts w:ascii="Calibri" w:hAnsi="Calibri"/>
        </w:rPr>
        <w:t xml:space="preserve">zorunlu olarak </w:t>
      </w:r>
      <w:r w:rsidRPr="002A4025">
        <w:rPr>
          <w:rFonts w:ascii="Calibri" w:hAnsi="Calibri"/>
        </w:rPr>
        <w:t xml:space="preserve">personel harcamalarına </w:t>
      </w:r>
      <w:r w:rsidR="003F461F" w:rsidRPr="002A4025">
        <w:rPr>
          <w:rFonts w:ascii="Calibri" w:hAnsi="Calibri"/>
        </w:rPr>
        <w:t xml:space="preserve">ayrıldığını özellikle </w:t>
      </w:r>
      <w:r w:rsidRPr="002A4025">
        <w:rPr>
          <w:rFonts w:ascii="Calibri" w:hAnsi="Calibri"/>
        </w:rPr>
        <w:t xml:space="preserve">gizlemeye çalışmaktadır. </w:t>
      </w:r>
      <w:r w:rsidR="0025060B" w:rsidRPr="002A4025">
        <w:rPr>
          <w:rFonts w:ascii="Calibri" w:hAnsi="Calibri"/>
        </w:rPr>
        <w:t>20</w:t>
      </w:r>
      <w:r w:rsidR="00143BA9" w:rsidRPr="002A4025">
        <w:rPr>
          <w:rFonts w:ascii="Calibri" w:hAnsi="Calibri"/>
        </w:rPr>
        <w:t>2</w:t>
      </w:r>
      <w:r w:rsidR="00222AE5">
        <w:rPr>
          <w:rFonts w:ascii="Calibri" w:hAnsi="Calibri"/>
        </w:rPr>
        <w:t>2</w:t>
      </w:r>
      <w:r w:rsidR="0025060B" w:rsidRPr="002A4025">
        <w:rPr>
          <w:rFonts w:ascii="Calibri" w:hAnsi="Calibri"/>
        </w:rPr>
        <w:t xml:space="preserve"> MEB bütçesi içinde mal ve hizmet alım giderlerinin payı </w:t>
      </w:r>
      <w:r w:rsidR="00143BA9" w:rsidRPr="002A4025">
        <w:rPr>
          <w:rFonts w:ascii="Calibri" w:hAnsi="Calibri"/>
        </w:rPr>
        <w:t>yüzde</w:t>
      </w:r>
      <w:r w:rsidR="002A4025" w:rsidRPr="002A4025">
        <w:rPr>
          <w:rFonts w:ascii="Calibri" w:hAnsi="Calibri"/>
        </w:rPr>
        <w:t xml:space="preserve"> 8,</w:t>
      </w:r>
      <w:r w:rsidR="00143BA9" w:rsidRPr="002A4025">
        <w:rPr>
          <w:rFonts w:ascii="Calibri" w:hAnsi="Calibri"/>
        </w:rPr>
        <w:t xml:space="preserve"> </w:t>
      </w:r>
      <w:r w:rsidR="002A4025" w:rsidRPr="002A4025">
        <w:rPr>
          <w:rFonts w:ascii="Calibri" w:hAnsi="Calibri"/>
        </w:rPr>
        <w:t xml:space="preserve">sermaye giderleri yüzde 8, </w:t>
      </w:r>
      <w:r w:rsidR="0025060B" w:rsidRPr="002A4025">
        <w:rPr>
          <w:rFonts w:ascii="Calibri" w:hAnsi="Calibri"/>
        </w:rPr>
        <w:t>cari transferler</w:t>
      </w:r>
      <w:r w:rsidR="00222AE5">
        <w:rPr>
          <w:rFonts w:ascii="Calibri" w:hAnsi="Calibri"/>
        </w:rPr>
        <w:t xml:space="preserve"> </w:t>
      </w:r>
      <w:r w:rsidR="005A5389" w:rsidRPr="005A5389">
        <w:rPr>
          <w:rFonts w:asciiTheme="minorHAnsi" w:hAnsiTheme="minorHAnsi" w:cstheme="minorHAnsi"/>
        </w:rPr>
        <w:t>(kar amacı gütmeyen kuruluşlara yapılan transferler, hane halkına yapılan transferler</w:t>
      </w:r>
      <w:r w:rsidR="00222AE5" w:rsidRPr="005A5389">
        <w:rPr>
          <w:rFonts w:asciiTheme="minorHAnsi" w:hAnsiTheme="minorHAnsi" w:cstheme="minorHAnsi"/>
        </w:rPr>
        <w:t>)</w:t>
      </w:r>
      <w:r w:rsidR="0025060B" w:rsidRPr="005A5389">
        <w:rPr>
          <w:rFonts w:asciiTheme="minorHAnsi" w:hAnsiTheme="minorHAnsi" w:cstheme="minorHAnsi"/>
        </w:rPr>
        <w:t xml:space="preserve"> </w:t>
      </w:r>
      <w:r w:rsidR="00143BA9" w:rsidRPr="002A4025">
        <w:rPr>
          <w:rFonts w:ascii="Calibri" w:hAnsi="Calibri"/>
        </w:rPr>
        <w:t>yüzde</w:t>
      </w:r>
      <w:r w:rsidR="0025060B" w:rsidRPr="002A4025">
        <w:rPr>
          <w:rFonts w:ascii="Calibri" w:hAnsi="Calibri"/>
        </w:rPr>
        <w:t xml:space="preserve"> </w:t>
      </w:r>
      <w:r w:rsidR="00A1528C" w:rsidRPr="002A4025">
        <w:rPr>
          <w:rFonts w:ascii="Calibri" w:hAnsi="Calibri"/>
        </w:rPr>
        <w:t>3</w:t>
      </w:r>
      <w:r w:rsidR="002A4025" w:rsidRPr="002A4025">
        <w:rPr>
          <w:rFonts w:ascii="Calibri" w:hAnsi="Calibri"/>
        </w:rPr>
        <w:t xml:space="preserve">’tür. </w:t>
      </w:r>
      <w:r w:rsidR="0025060B" w:rsidRPr="002A4025">
        <w:rPr>
          <w:rFonts w:ascii="Calibri" w:hAnsi="Calibri"/>
        </w:rPr>
        <w:t xml:space="preserve"> </w:t>
      </w:r>
    </w:p>
    <w:p w:rsidR="00296EEF" w:rsidRDefault="00296EEF" w:rsidP="00C832A9">
      <w:pPr>
        <w:ind w:firstLine="357"/>
        <w:jc w:val="both"/>
        <w:rPr>
          <w:rFonts w:ascii="Calibri" w:hAnsi="Calibri"/>
        </w:rPr>
      </w:pPr>
    </w:p>
    <w:p w:rsidR="00BD7E3A" w:rsidRPr="00026CFF" w:rsidRDefault="005A5389" w:rsidP="00143BA9">
      <w:pPr>
        <w:tabs>
          <w:tab w:val="left" w:pos="0"/>
        </w:tabs>
        <w:rPr>
          <w:rFonts w:ascii="Calibri" w:hAnsi="Calibri"/>
          <w:b/>
          <w:color w:val="000000" w:themeColor="text1"/>
        </w:rPr>
      </w:pPr>
      <w:r w:rsidRPr="00026CFF">
        <w:rPr>
          <w:rFonts w:ascii="Calibri" w:hAnsi="Calibri"/>
          <w:b/>
          <w:color w:val="000000" w:themeColor="text1"/>
        </w:rPr>
        <w:t xml:space="preserve">EĞİTİM YATIRIMLARI </w:t>
      </w:r>
      <w:r>
        <w:rPr>
          <w:rFonts w:ascii="Calibri" w:hAnsi="Calibri"/>
          <w:b/>
          <w:color w:val="000000" w:themeColor="text1"/>
        </w:rPr>
        <w:t xml:space="preserve">İHTİYAÇ ORANINDA ARTMAMAKTADIR </w:t>
      </w:r>
    </w:p>
    <w:p w:rsidR="00BD7E3A" w:rsidRPr="00874643" w:rsidRDefault="00BD7E3A" w:rsidP="00125728">
      <w:pPr>
        <w:tabs>
          <w:tab w:val="left" w:pos="0"/>
        </w:tabs>
        <w:ind w:firstLine="360"/>
        <w:jc w:val="both"/>
        <w:rPr>
          <w:rFonts w:ascii="Calibri" w:hAnsi="Calibri"/>
          <w:sz w:val="16"/>
          <w:szCs w:val="16"/>
        </w:rPr>
      </w:pPr>
    </w:p>
    <w:p w:rsidR="00C832A9" w:rsidRDefault="00701BFE" w:rsidP="00C832A9">
      <w:pPr>
        <w:ind w:firstLine="360"/>
        <w:jc w:val="both"/>
        <w:rPr>
          <w:rFonts w:ascii="Calibri" w:hAnsi="Calibri"/>
        </w:rPr>
      </w:pPr>
      <w:r>
        <w:rPr>
          <w:rFonts w:ascii="Calibri" w:hAnsi="Calibri"/>
        </w:rPr>
        <w:t>2002-20</w:t>
      </w:r>
      <w:r w:rsidR="00026CFF">
        <w:rPr>
          <w:rFonts w:ascii="Calibri" w:hAnsi="Calibri"/>
        </w:rPr>
        <w:t>21</w:t>
      </w:r>
      <w:r>
        <w:rPr>
          <w:rFonts w:ascii="Calibri" w:hAnsi="Calibri"/>
        </w:rPr>
        <w:t xml:space="preserve"> yılları</w:t>
      </w:r>
      <w:r w:rsidR="00A1528C">
        <w:rPr>
          <w:rFonts w:ascii="Calibri" w:hAnsi="Calibri"/>
        </w:rPr>
        <w:t xml:space="preserve"> itibarıyl</w:t>
      </w:r>
      <w:r>
        <w:rPr>
          <w:rFonts w:ascii="Calibri" w:hAnsi="Calibri"/>
        </w:rPr>
        <w:t xml:space="preserve">a MEB bütçesinden eğitim yatırımlarına ayrılan payın </w:t>
      </w:r>
      <w:r w:rsidR="00A1528C">
        <w:rPr>
          <w:rFonts w:ascii="Calibri" w:hAnsi="Calibri"/>
        </w:rPr>
        <w:t xml:space="preserve">gelişim </w:t>
      </w:r>
      <w:r>
        <w:rPr>
          <w:rFonts w:ascii="Calibri" w:hAnsi="Calibri"/>
        </w:rPr>
        <w:t xml:space="preserve">seyri, her fırsatta </w:t>
      </w:r>
      <w:r w:rsidRPr="001B72CE">
        <w:rPr>
          <w:rFonts w:ascii="Calibri" w:hAnsi="Calibri"/>
        </w:rPr>
        <w:t>“Bütçeden en çok payı eğitime ayırdık” diyenlerin</w:t>
      </w:r>
      <w:r>
        <w:rPr>
          <w:rFonts w:ascii="Calibri" w:hAnsi="Calibri"/>
        </w:rPr>
        <w:t xml:space="preserve"> halkı nasıl </w:t>
      </w:r>
      <w:r w:rsidR="003F422E" w:rsidRPr="002B7ACD">
        <w:rPr>
          <w:rFonts w:ascii="Calibri" w:hAnsi="Calibri"/>
          <w:color w:val="000000" w:themeColor="text1"/>
        </w:rPr>
        <w:t>yanılttıklarını</w:t>
      </w:r>
      <w:r w:rsidR="003F422E">
        <w:rPr>
          <w:rFonts w:ascii="Calibri" w:hAnsi="Calibri"/>
        </w:rPr>
        <w:t xml:space="preserve">, </w:t>
      </w:r>
      <w:r>
        <w:rPr>
          <w:rFonts w:ascii="Calibri" w:hAnsi="Calibri"/>
        </w:rPr>
        <w:t>eğitim</w:t>
      </w:r>
      <w:r w:rsidR="00A1528C">
        <w:rPr>
          <w:rFonts w:ascii="Calibri" w:hAnsi="Calibri"/>
        </w:rPr>
        <w:t xml:space="preserve">e ayrılan bütçenin ne kadarının yatırıma ayrıldığını gizlemeye çalışarak </w:t>
      </w:r>
      <w:r>
        <w:rPr>
          <w:rFonts w:ascii="Calibri" w:hAnsi="Calibri"/>
        </w:rPr>
        <w:t>gerçekleri nasıl çarpıttıklarını</w:t>
      </w:r>
      <w:r w:rsidR="00B943B0">
        <w:rPr>
          <w:rFonts w:ascii="Calibri" w:hAnsi="Calibri"/>
        </w:rPr>
        <w:t xml:space="preserve"> </w:t>
      </w:r>
      <w:r w:rsidR="00E3785F">
        <w:rPr>
          <w:rFonts w:ascii="Calibri" w:hAnsi="Calibri"/>
        </w:rPr>
        <w:t xml:space="preserve">açıkça </w:t>
      </w:r>
      <w:r w:rsidR="00B943B0">
        <w:rPr>
          <w:rFonts w:ascii="Calibri" w:hAnsi="Calibri"/>
        </w:rPr>
        <w:t xml:space="preserve">göstermektedir. </w:t>
      </w:r>
    </w:p>
    <w:p w:rsidR="002C2B2D" w:rsidRDefault="002C2B2D" w:rsidP="00C832A9">
      <w:pPr>
        <w:ind w:firstLine="360"/>
        <w:jc w:val="both"/>
        <w:rPr>
          <w:rFonts w:ascii="Calibri" w:hAnsi="Calibri"/>
          <w:bCs/>
        </w:rPr>
      </w:pPr>
    </w:p>
    <w:p w:rsidR="00BD7E3A" w:rsidRDefault="009F7AA9" w:rsidP="00113724">
      <w:pPr>
        <w:tabs>
          <w:tab w:val="left" w:pos="0"/>
        </w:tabs>
        <w:jc w:val="center"/>
        <w:rPr>
          <w:rFonts w:ascii="Calibri" w:hAnsi="Calibri"/>
        </w:rPr>
      </w:pPr>
      <w:r w:rsidRPr="00026CFF">
        <w:rPr>
          <w:rFonts w:ascii="Arial" w:hAnsi="Arial" w:cs="Arial"/>
          <w:noProof/>
          <w:color w:val="000000"/>
          <w:shd w:val="clear" w:color="auto" w:fill="FFFFFF"/>
        </w:rPr>
        <w:drawing>
          <wp:inline distT="0" distB="0" distL="0" distR="0">
            <wp:extent cx="6096000" cy="2743200"/>
            <wp:effectExtent l="0" t="0" r="0" b="0"/>
            <wp:docPr id="31" name="Nesnesi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6CFF" w:rsidRPr="00D167BC" w:rsidRDefault="00026CFF" w:rsidP="00026CFF">
      <w:pPr>
        <w:tabs>
          <w:tab w:val="left" w:pos="0"/>
        </w:tabs>
        <w:jc w:val="both"/>
        <w:rPr>
          <w:rFonts w:ascii="Calibri" w:hAnsi="Calibri" w:cs="Calibri"/>
          <w:sz w:val="16"/>
          <w:szCs w:val="16"/>
        </w:rPr>
      </w:pPr>
    </w:p>
    <w:p w:rsidR="003F461F" w:rsidRDefault="00026CFF" w:rsidP="00540FAB">
      <w:pPr>
        <w:ind w:firstLine="360"/>
        <w:jc w:val="both"/>
        <w:rPr>
          <w:rFonts w:ascii="Calibri" w:hAnsi="Calibri" w:cs="Calibri"/>
        </w:rPr>
      </w:pPr>
      <w:r w:rsidRPr="001B72CE">
        <w:rPr>
          <w:rFonts w:ascii="Calibri" w:hAnsi="Calibri"/>
          <w:bCs/>
        </w:rPr>
        <w:lastRenderedPageBreak/>
        <w:t xml:space="preserve">MEB bütçesinden eğitim yatırımlarına ayrılan pay 2002 yılında </w:t>
      </w:r>
      <w:r w:rsidRPr="004422F6">
        <w:rPr>
          <w:rFonts w:ascii="Calibri" w:hAnsi="Calibri"/>
          <w:b/>
          <w:bCs/>
        </w:rPr>
        <w:t>yüzde</w:t>
      </w:r>
      <w:r w:rsidRPr="001B72CE">
        <w:rPr>
          <w:rFonts w:ascii="Calibri" w:hAnsi="Calibri"/>
          <w:bCs/>
        </w:rPr>
        <w:t xml:space="preserve"> </w:t>
      </w:r>
      <w:r w:rsidRPr="00B80EDB">
        <w:rPr>
          <w:rFonts w:ascii="Calibri" w:hAnsi="Calibri"/>
          <w:b/>
          <w:bCs/>
        </w:rPr>
        <w:t>17</w:t>
      </w:r>
      <w:r>
        <w:rPr>
          <w:rFonts w:ascii="Calibri" w:hAnsi="Calibri"/>
          <w:b/>
          <w:bCs/>
        </w:rPr>
        <w:t>,18</w:t>
      </w:r>
      <w:r w:rsidRPr="00B80EDB">
        <w:rPr>
          <w:rFonts w:ascii="Calibri" w:hAnsi="Calibri"/>
          <w:b/>
          <w:bCs/>
        </w:rPr>
        <w:t xml:space="preserve"> </w:t>
      </w:r>
      <w:r w:rsidRPr="001B72CE">
        <w:rPr>
          <w:rFonts w:ascii="Calibri" w:hAnsi="Calibri"/>
          <w:bCs/>
        </w:rPr>
        <w:t xml:space="preserve">iken, </w:t>
      </w:r>
      <w:r>
        <w:rPr>
          <w:rFonts w:ascii="Calibri" w:hAnsi="Calibri"/>
          <w:bCs/>
        </w:rPr>
        <w:t xml:space="preserve">eğitim hizmetlerinin sunumu açısından çok önemli olan bu rakam 2009’da </w:t>
      </w:r>
      <w:r w:rsidRPr="004422F6">
        <w:rPr>
          <w:rFonts w:ascii="Calibri" w:hAnsi="Calibri"/>
          <w:b/>
          <w:bCs/>
        </w:rPr>
        <w:t>yüzde</w:t>
      </w:r>
      <w:r>
        <w:rPr>
          <w:rFonts w:ascii="Calibri" w:hAnsi="Calibri"/>
          <w:bCs/>
        </w:rPr>
        <w:t xml:space="preserve"> </w:t>
      </w:r>
      <w:r w:rsidRPr="003E6DDF">
        <w:rPr>
          <w:rFonts w:ascii="Calibri" w:hAnsi="Calibri"/>
          <w:b/>
          <w:bCs/>
        </w:rPr>
        <w:t>4,57</w:t>
      </w:r>
      <w:r>
        <w:rPr>
          <w:rFonts w:ascii="Calibri" w:hAnsi="Calibri"/>
          <w:bCs/>
        </w:rPr>
        <w:t xml:space="preserve">’ye kadar gerilemiştir. 4+4+4 sonrasında zorunlu olarak kısmen de olsa artışa geçen eğitim yatırımlarına ayrılan bütçe oranı, 2014 sonrasında yeniden azalmaya başlamıştır. </w:t>
      </w:r>
      <w:r w:rsidRPr="001519C8">
        <w:rPr>
          <w:rFonts w:ascii="Calibri" w:hAnsi="Calibri" w:cs="Calibri"/>
        </w:rPr>
        <w:t xml:space="preserve">MEB bütçesinden eğitim yatırımlarına ayrılan pay </w:t>
      </w:r>
      <w:r w:rsidR="003B22DE">
        <w:rPr>
          <w:rFonts w:ascii="Calibri" w:hAnsi="Calibri" w:cs="Calibri"/>
        </w:rPr>
        <w:t xml:space="preserve">2022’de </w:t>
      </w:r>
      <w:r w:rsidRPr="001519C8">
        <w:rPr>
          <w:rFonts w:ascii="Calibri" w:hAnsi="Calibri" w:cs="Calibri"/>
        </w:rPr>
        <w:t xml:space="preserve">geçen yıla </w:t>
      </w:r>
      <w:r w:rsidR="005A5389" w:rsidRPr="001519C8">
        <w:rPr>
          <w:rFonts w:ascii="Calibri" w:hAnsi="Calibri" w:cs="Calibri"/>
        </w:rPr>
        <w:t>(</w:t>
      </w:r>
      <w:r w:rsidR="005A5389" w:rsidRPr="00026CFF">
        <w:rPr>
          <w:rFonts w:ascii="Calibri" w:hAnsi="Calibri" w:cs="Calibri"/>
          <w:b/>
        </w:rPr>
        <w:t>yüzde 7,69</w:t>
      </w:r>
      <w:r w:rsidR="005A5389" w:rsidRPr="001519C8">
        <w:rPr>
          <w:rFonts w:ascii="Calibri" w:hAnsi="Calibri" w:cs="Calibri"/>
        </w:rPr>
        <w:t xml:space="preserve">) </w:t>
      </w:r>
      <w:r w:rsidRPr="001519C8">
        <w:rPr>
          <w:rFonts w:ascii="Calibri" w:hAnsi="Calibri" w:cs="Calibri"/>
        </w:rPr>
        <w:t xml:space="preserve">göre </w:t>
      </w:r>
      <w:r w:rsidR="005A5389">
        <w:rPr>
          <w:rFonts w:ascii="Calibri" w:hAnsi="Calibri" w:cs="Calibri"/>
        </w:rPr>
        <w:t xml:space="preserve">çok az </w:t>
      </w:r>
      <w:r w:rsidRPr="001519C8">
        <w:rPr>
          <w:rFonts w:ascii="Calibri" w:hAnsi="Calibri" w:cs="Calibri"/>
        </w:rPr>
        <w:t>artmış gibi görünse de</w:t>
      </w:r>
      <w:r w:rsidR="005A5389">
        <w:rPr>
          <w:rFonts w:ascii="Calibri" w:hAnsi="Calibri" w:cs="Calibri"/>
        </w:rPr>
        <w:t xml:space="preserve"> 19</w:t>
      </w:r>
      <w:r w:rsidRPr="001519C8">
        <w:rPr>
          <w:rFonts w:ascii="Calibri" w:hAnsi="Calibri" w:cs="Calibri"/>
        </w:rPr>
        <w:t xml:space="preserve"> yıl önceki oranının </w:t>
      </w:r>
      <w:r w:rsidR="003B22DE">
        <w:rPr>
          <w:rFonts w:ascii="Calibri" w:hAnsi="Calibri" w:cs="Calibri"/>
        </w:rPr>
        <w:t xml:space="preserve">hala </w:t>
      </w:r>
      <w:r>
        <w:rPr>
          <w:rFonts w:ascii="Calibri" w:hAnsi="Calibri" w:cs="Calibri"/>
        </w:rPr>
        <w:t>çok gerisindedir.</w:t>
      </w:r>
      <w:r w:rsidR="00540FAB">
        <w:rPr>
          <w:rFonts w:ascii="Calibri" w:hAnsi="Calibri" w:cs="Calibri"/>
        </w:rPr>
        <w:t xml:space="preserve"> </w:t>
      </w:r>
    </w:p>
    <w:p w:rsidR="003F422E" w:rsidRDefault="00540D5A" w:rsidP="00D167BC">
      <w:pPr>
        <w:ind w:firstLine="426"/>
        <w:jc w:val="both"/>
        <w:rPr>
          <w:rFonts w:asciiTheme="minorHAnsi" w:hAnsiTheme="minorHAnsi" w:cstheme="minorHAnsi"/>
        </w:rPr>
      </w:pPr>
      <w:r>
        <w:rPr>
          <w:rFonts w:ascii="Calibri" w:hAnsi="Calibri"/>
          <w:bCs/>
        </w:rPr>
        <w:t>20</w:t>
      </w:r>
      <w:r w:rsidR="0035190D">
        <w:rPr>
          <w:rFonts w:ascii="Calibri" w:hAnsi="Calibri"/>
          <w:bCs/>
        </w:rPr>
        <w:t>2</w:t>
      </w:r>
      <w:r w:rsidR="005A5389">
        <w:rPr>
          <w:rFonts w:ascii="Calibri" w:hAnsi="Calibri"/>
          <w:bCs/>
        </w:rPr>
        <w:t>2</w:t>
      </w:r>
      <w:r>
        <w:rPr>
          <w:rFonts w:ascii="Calibri" w:hAnsi="Calibri"/>
          <w:bCs/>
        </w:rPr>
        <w:t xml:space="preserve"> MEB bütçesinin bizlere gösterdiği en </w:t>
      </w:r>
      <w:r w:rsidR="0035190D">
        <w:rPr>
          <w:rFonts w:ascii="Calibri" w:hAnsi="Calibri"/>
          <w:bCs/>
        </w:rPr>
        <w:t xml:space="preserve">açık </w:t>
      </w:r>
      <w:r>
        <w:rPr>
          <w:rFonts w:ascii="Calibri" w:hAnsi="Calibri"/>
          <w:bCs/>
        </w:rPr>
        <w:t>gerçek, eğitimde yaşanan yoğun ticarileşme sürecinin</w:t>
      </w:r>
      <w:r w:rsidR="00E3785F">
        <w:rPr>
          <w:rFonts w:ascii="Calibri" w:hAnsi="Calibri"/>
          <w:bCs/>
        </w:rPr>
        <w:t xml:space="preserve"> </w:t>
      </w:r>
      <w:r>
        <w:rPr>
          <w:rFonts w:ascii="Calibri" w:hAnsi="Calibri"/>
          <w:bCs/>
        </w:rPr>
        <w:t>artarak devam edeceği</w:t>
      </w:r>
      <w:r w:rsidR="0035190D">
        <w:rPr>
          <w:rFonts w:ascii="Calibri" w:hAnsi="Calibri"/>
          <w:bCs/>
        </w:rPr>
        <w:t>, v</w:t>
      </w:r>
      <w:r>
        <w:rPr>
          <w:rFonts w:ascii="Calibri" w:hAnsi="Calibri"/>
          <w:bCs/>
        </w:rPr>
        <w:t xml:space="preserve">elilerin cebinden yapacağı eğitim harcamalarının belirgin bir şekilde artacağıdır. </w:t>
      </w:r>
      <w:r w:rsidR="005C1F28" w:rsidRPr="005C1F28">
        <w:rPr>
          <w:rFonts w:asciiTheme="minorHAnsi" w:hAnsiTheme="minorHAnsi" w:cstheme="minorHAnsi"/>
          <w:color w:val="000000" w:themeColor="text1"/>
        </w:rPr>
        <w:t xml:space="preserve">Türkiye ile diğer OECD ülkeleri arasında kademeler düzeyinde yapılan eğitim harcamaları arasındaki farklılıklar her geçen yıl artmaktadır. </w:t>
      </w:r>
      <w:r w:rsidR="005C1F28" w:rsidRPr="005C1F28">
        <w:rPr>
          <w:rFonts w:asciiTheme="minorHAnsi" w:hAnsiTheme="minorHAnsi" w:cstheme="minorHAnsi"/>
        </w:rPr>
        <w:t>Devletin eğitim harcamalarına yaptığı katkı yıllar içinde istikrarlı bir şekilde azalırken, hane halkının cebinden yaptığı eğitim harcamalarının payı artmaya devam etmektedir. Türkiye’nin ‘</w:t>
      </w:r>
      <w:r w:rsidR="000942B3">
        <w:rPr>
          <w:rFonts w:asciiTheme="minorHAnsi" w:hAnsiTheme="minorHAnsi" w:cstheme="minorHAnsi"/>
        </w:rPr>
        <w:t>E</w:t>
      </w:r>
      <w:r w:rsidR="005C1F28" w:rsidRPr="005C1F28">
        <w:rPr>
          <w:rFonts w:asciiTheme="minorHAnsi" w:hAnsiTheme="minorHAnsi" w:cstheme="minorHAnsi"/>
        </w:rPr>
        <w:t xml:space="preserve">ğitime en çok payı ayırıyoruz’ söyleminin gerçeği yansıtmadığını görmek için hane halkının cebinden yaptığı eğitim harcamalarının </w:t>
      </w:r>
      <w:r w:rsidR="00D167BC">
        <w:rPr>
          <w:rFonts w:asciiTheme="minorHAnsi" w:hAnsiTheme="minorHAnsi" w:cstheme="minorHAnsi"/>
        </w:rPr>
        <w:t xml:space="preserve">son 19 yılda ne kadar arttığına </w:t>
      </w:r>
      <w:r w:rsidR="005C1F28" w:rsidRPr="005C1F28">
        <w:rPr>
          <w:rFonts w:asciiTheme="minorHAnsi" w:hAnsiTheme="minorHAnsi" w:cstheme="minorHAnsi"/>
        </w:rPr>
        <w:t xml:space="preserve">bakmak yeterlidir. </w:t>
      </w:r>
    </w:p>
    <w:p w:rsidR="005A5389" w:rsidRDefault="005C1F28" w:rsidP="005A5389">
      <w:pPr>
        <w:ind w:firstLine="426"/>
        <w:jc w:val="both"/>
        <w:rPr>
          <w:rFonts w:asciiTheme="minorHAnsi" w:hAnsiTheme="minorHAnsi" w:cstheme="minorHAnsi"/>
        </w:rPr>
      </w:pPr>
      <w:r w:rsidRPr="005C1F28">
        <w:rPr>
          <w:rFonts w:asciiTheme="minorHAnsi" w:hAnsiTheme="minorHAnsi" w:cstheme="minorHAnsi"/>
        </w:rPr>
        <w:t xml:space="preserve"> </w:t>
      </w:r>
      <w:r w:rsidR="005A5389" w:rsidRPr="005A5389">
        <w:rPr>
          <w:rFonts w:asciiTheme="minorHAnsi" w:hAnsiTheme="minorHAnsi" w:cstheme="minorHAnsi"/>
        </w:rPr>
        <w:t xml:space="preserve">Türkiye’de kamusal eğitim </w:t>
      </w:r>
      <w:r w:rsidR="005A5389">
        <w:rPr>
          <w:rFonts w:asciiTheme="minorHAnsi" w:hAnsiTheme="minorHAnsi" w:cstheme="minorHAnsi"/>
        </w:rPr>
        <w:t xml:space="preserve">yıllardır </w:t>
      </w:r>
      <w:r w:rsidR="005A5389" w:rsidRPr="005A5389">
        <w:rPr>
          <w:rFonts w:asciiTheme="minorHAnsi" w:hAnsiTheme="minorHAnsi" w:cstheme="minorHAnsi"/>
        </w:rPr>
        <w:t>adım adım tasfiye edilmekte, eğitime ayrılan kamu kaynakları oransal olarak her geçen yıl azalırken, hane halkının cebinden yaptığı eğitim harcamaları kademeli olarak artmaktadır. Eğitim-öğretimin hukuken parasız olduğu ilkokulda velilerin ceplerinden yapmak zorunda kaldı</w:t>
      </w:r>
      <w:r w:rsidR="002E6EE8">
        <w:rPr>
          <w:rFonts w:asciiTheme="minorHAnsi" w:hAnsiTheme="minorHAnsi" w:cstheme="minorHAnsi"/>
        </w:rPr>
        <w:t>ğı</w:t>
      </w:r>
      <w:r w:rsidR="005A5389" w:rsidRPr="005A5389">
        <w:rPr>
          <w:rFonts w:asciiTheme="minorHAnsi" w:hAnsiTheme="minorHAnsi" w:cstheme="minorHAnsi"/>
        </w:rPr>
        <w:t xml:space="preserve"> eğitim harcamaları her geçen yıl artmış, veliler çocuklarını kimi zaman borçlanarak, kimi zaman bankalardan ‘eğitim kredisi’ çekerek, kimi zaman da gıda harcamalarından kısarak okutmak zorunda bırakılmıştır. </w:t>
      </w:r>
    </w:p>
    <w:p w:rsidR="002D7D92" w:rsidRDefault="002D7D92" w:rsidP="002D7D92">
      <w:pPr>
        <w:pStyle w:val="GvdeMetni"/>
        <w:spacing w:line="240" w:lineRule="auto"/>
        <w:ind w:firstLine="357"/>
        <w:rPr>
          <w:rFonts w:ascii="Calibri" w:hAnsi="Calibri"/>
          <w:sz w:val="24"/>
          <w:szCs w:val="24"/>
        </w:rPr>
      </w:pPr>
      <w:r w:rsidRPr="00A6017A">
        <w:rPr>
          <w:rFonts w:ascii="Calibri" w:hAnsi="Calibri"/>
          <w:sz w:val="24"/>
          <w:szCs w:val="24"/>
        </w:rPr>
        <w:t xml:space="preserve">Eğitim, devredilemez </w:t>
      </w:r>
      <w:r w:rsidR="00841C3E">
        <w:rPr>
          <w:rFonts w:ascii="Calibri" w:hAnsi="Calibri"/>
          <w:sz w:val="24"/>
          <w:szCs w:val="24"/>
        </w:rPr>
        <w:t xml:space="preserve">ve vazgeçilemez </w:t>
      </w:r>
      <w:r w:rsidRPr="00A6017A">
        <w:rPr>
          <w:rFonts w:ascii="Calibri" w:hAnsi="Calibri"/>
          <w:sz w:val="24"/>
          <w:szCs w:val="24"/>
        </w:rPr>
        <w:t xml:space="preserve">kamusal </w:t>
      </w:r>
      <w:r w:rsidR="00841C3E" w:rsidRPr="00A6017A">
        <w:rPr>
          <w:rFonts w:ascii="Calibri" w:hAnsi="Calibri"/>
          <w:sz w:val="24"/>
          <w:szCs w:val="24"/>
        </w:rPr>
        <w:t xml:space="preserve">bir </w:t>
      </w:r>
      <w:r w:rsidRPr="00A6017A">
        <w:rPr>
          <w:rFonts w:ascii="Calibri" w:hAnsi="Calibri"/>
          <w:sz w:val="24"/>
          <w:szCs w:val="24"/>
        </w:rPr>
        <w:t xml:space="preserve">haktır. Bu alanda yapılan çeşitli araştırmaların da gösterdiği gibi, devlet okullarında paralı eğitim uygulamaları yaygınlaştıkça, en düşük gelir dilimindeki yüzde 20’lik kesimin gelirleri içinde eğitim harcamalarına ayırmak zorunda oldukları pay artmaktadır. Söz konusu artış </w:t>
      </w:r>
      <w:r w:rsidR="005A5389">
        <w:rPr>
          <w:rFonts w:ascii="Calibri" w:hAnsi="Calibri"/>
          <w:sz w:val="24"/>
          <w:szCs w:val="24"/>
        </w:rPr>
        <w:t xml:space="preserve">başta gıda olmak üzere temel tüketim </w:t>
      </w:r>
      <w:r w:rsidRPr="00A6017A">
        <w:rPr>
          <w:rFonts w:ascii="Calibri" w:hAnsi="Calibri"/>
          <w:sz w:val="24"/>
          <w:szCs w:val="24"/>
        </w:rPr>
        <w:t xml:space="preserve">harcamalarından kısılarak gerçekleştirilmektedir. Bu koşullarda devlet okullarında eşitsizlikleri derinleştiren örnekler, var olan toplumsal eşitsizlikler doğrultusunda okulları </w:t>
      </w:r>
      <w:r>
        <w:rPr>
          <w:rFonts w:ascii="Calibri" w:hAnsi="Calibri"/>
          <w:sz w:val="24"/>
          <w:szCs w:val="24"/>
        </w:rPr>
        <w:t xml:space="preserve">ayrıştırmaya neden olmakta </w:t>
      </w:r>
      <w:r w:rsidRPr="00A6017A">
        <w:rPr>
          <w:rFonts w:ascii="Calibri" w:hAnsi="Calibri"/>
          <w:sz w:val="24"/>
          <w:szCs w:val="24"/>
        </w:rPr>
        <w:t xml:space="preserve">zenginle yoksula ayrı ayrı </w:t>
      </w:r>
      <w:r w:rsidR="00E3785F">
        <w:rPr>
          <w:rFonts w:ascii="Calibri" w:hAnsi="Calibri"/>
          <w:sz w:val="24"/>
          <w:szCs w:val="24"/>
        </w:rPr>
        <w:t>‘</w:t>
      </w:r>
      <w:r w:rsidRPr="00A6017A">
        <w:rPr>
          <w:rFonts w:ascii="Calibri" w:hAnsi="Calibri"/>
          <w:sz w:val="24"/>
          <w:szCs w:val="24"/>
        </w:rPr>
        <w:t>devlet okulu</w:t>
      </w:r>
      <w:r w:rsidR="00E3785F">
        <w:rPr>
          <w:rFonts w:ascii="Calibri" w:hAnsi="Calibri"/>
          <w:sz w:val="24"/>
          <w:szCs w:val="24"/>
        </w:rPr>
        <w:t>’</w:t>
      </w:r>
      <w:r w:rsidRPr="00A6017A">
        <w:rPr>
          <w:rFonts w:ascii="Calibri" w:hAnsi="Calibri"/>
          <w:sz w:val="24"/>
          <w:szCs w:val="24"/>
        </w:rPr>
        <w:t xml:space="preserve">, hatta aynı devlet okulu içinde </w:t>
      </w:r>
      <w:r>
        <w:rPr>
          <w:rFonts w:ascii="Calibri" w:hAnsi="Calibri"/>
          <w:sz w:val="24"/>
          <w:szCs w:val="24"/>
        </w:rPr>
        <w:t xml:space="preserve">gelir durumuna ya da </w:t>
      </w:r>
      <w:r w:rsidRPr="00A6017A">
        <w:rPr>
          <w:rFonts w:ascii="Calibri" w:hAnsi="Calibri"/>
          <w:sz w:val="24"/>
          <w:szCs w:val="24"/>
        </w:rPr>
        <w:t xml:space="preserve">başarı düzeyine göre farklı sınıflar oluşturulmasının önünü açmaktadır. </w:t>
      </w:r>
    </w:p>
    <w:p w:rsidR="002D7D92" w:rsidRDefault="002D7D92" w:rsidP="002D7D92">
      <w:pPr>
        <w:pStyle w:val="GvdeMetni"/>
        <w:spacing w:line="240" w:lineRule="auto"/>
        <w:ind w:firstLine="357"/>
        <w:rPr>
          <w:rFonts w:ascii="Calibri" w:hAnsi="Calibri"/>
          <w:sz w:val="24"/>
          <w:szCs w:val="24"/>
        </w:rPr>
      </w:pPr>
      <w:r w:rsidRPr="00A6017A">
        <w:rPr>
          <w:rFonts w:ascii="Calibri" w:hAnsi="Calibri"/>
          <w:sz w:val="24"/>
          <w:szCs w:val="24"/>
        </w:rPr>
        <w:t xml:space="preserve">Piyasacı eğitim sistemi, yaşamın her düzeyinde rekabeti, hizmetin bedelini ödemeyi, öğrenci ve velilerin </w:t>
      </w:r>
      <w:r w:rsidR="00E3785F">
        <w:rPr>
          <w:rFonts w:ascii="Calibri" w:hAnsi="Calibri"/>
          <w:sz w:val="24"/>
          <w:szCs w:val="24"/>
        </w:rPr>
        <w:t>‘</w:t>
      </w:r>
      <w:r w:rsidRPr="00A6017A">
        <w:rPr>
          <w:rFonts w:ascii="Calibri" w:hAnsi="Calibri"/>
          <w:sz w:val="24"/>
          <w:szCs w:val="24"/>
        </w:rPr>
        <w:t>müşteri</w:t>
      </w:r>
      <w:r w:rsidR="00E3785F">
        <w:rPr>
          <w:rFonts w:ascii="Calibri" w:hAnsi="Calibri"/>
          <w:sz w:val="24"/>
          <w:szCs w:val="24"/>
        </w:rPr>
        <w:t>’</w:t>
      </w:r>
      <w:r w:rsidRPr="00A6017A">
        <w:rPr>
          <w:rFonts w:ascii="Calibri" w:hAnsi="Calibri"/>
          <w:sz w:val="24"/>
          <w:szCs w:val="24"/>
        </w:rPr>
        <w:t xml:space="preserve"> haline getirilmesini hedefle</w:t>
      </w:r>
      <w:r w:rsidR="00E3785F">
        <w:rPr>
          <w:rFonts w:ascii="Calibri" w:hAnsi="Calibri"/>
          <w:sz w:val="24"/>
          <w:szCs w:val="24"/>
        </w:rPr>
        <w:t xml:space="preserve">mekte, </w:t>
      </w:r>
      <w:r>
        <w:rPr>
          <w:rFonts w:ascii="Calibri" w:hAnsi="Calibri"/>
          <w:sz w:val="24"/>
          <w:szCs w:val="24"/>
        </w:rPr>
        <w:t xml:space="preserve">toplumdaki sınıf farklılıklarını </w:t>
      </w:r>
      <w:r w:rsidRPr="00A6017A">
        <w:rPr>
          <w:rFonts w:ascii="Calibri" w:hAnsi="Calibri"/>
          <w:sz w:val="24"/>
          <w:szCs w:val="24"/>
        </w:rPr>
        <w:t xml:space="preserve">daha da </w:t>
      </w:r>
      <w:r w:rsidR="00E3785F">
        <w:rPr>
          <w:rFonts w:ascii="Calibri" w:hAnsi="Calibri"/>
          <w:sz w:val="24"/>
          <w:szCs w:val="24"/>
        </w:rPr>
        <w:t xml:space="preserve">belirgin hale getirmektedir. </w:t>
      </w:r>
      <w:r w:rsidRPr="00A6017A">
        <w:rPr>
          <w:rFonts w:ascii="Calibri" w:hAnsi="Calibri"/>
          <w:sz w:val="24"/>
          <w:szCs w:val="24"/>
        </w:rPr>
        <w:t>Aynı okul içinde sınıflar, aynı bölgede okullar, farklı bölgeler, birbirleriyle rekabet içine sokularak eğitim hizmetleri piyasa kurallarına göre düzenlenmekte</w:t>
      </w:r>
      <w:r w:rsidR="00E3785F">
        <w:rPr>
          <w:rFonts w:ascii="Calibri" w:hAnsi="Calibri"/>
          <w:sz w:val="24"/>
          <w:szCs w:val="24"/>
        </w:rPr>
        <w:t xml:space="preserve">dir. </w:t>
      </w:r>
    </w:p>
    <w:p w:rsidR="002D7D92" w:rsidRDefault="002D7D92" w:rsidP="002D7D92">
      <w:pPr>
        <w:ind w:firstLine="357"/>
        <w:jc w:val="both"/>
        <w:rPr>
          <w:rFonts w:ascii="Calibri" w:hAnsi="Calibri"/>
        </w:rPr>
      </w:pPr>
      <w:r>
        <w:rPr>
          <w:rFonts w:ascii="Calibri" w:hAnsi="Calibri"/>
        </w:rPr>
        <w:t>Y</w:t>
      </w:r>
      <w:r w:rsidRPr="00136BE6">
        <w:rPr>
          <w:rFonts w:ascii="Calibri" w:hAnsi="Calibri"/>
        </w:rPr>
        <w:t>apılması gereken, kamusal kaynakların</w:t>
      </w:r>
      <w:r w:rsidR="0032353D">
        <w:rPr>
          <w:rFonts w:ascii="Calibri" w:hAnsi="Calibri"/>
        </w:rPr>
        <w:t>ın</w:t>
      </w:r>
      <w:bookmarkStart w:id="0" w:name="_GoBack"/>
      <w:bookmarkEnd w:id="0"/>
      <w:r w:rsidRPr="00136BE6">
        <w:rPr>
          <w:rFonts w:ascii="Calibri" w:hAnsi="Calibri"/>
        </w:rPr>
        <w:t xml:space="preserve"> yine kamusal bir hak olan eğitim için, özel çıkarlar değil, toplumsal çıkarlar gözetilerek değerlendirilmesi</w:t>
      </w:r>
      <w:r w:rsidR="00E3785F">
        <w:rPr>
          <w:rFonts w:ascii="Calibri" w:hAnsi="Calibri"/>
        </w:rPr>
        <w:t xml:space="preserve">dir. Ekonomik kriz gerekçesiyle eğitimden tasarruf yapılması ve eğitim bütçesinde kısıntıya gidilmesi kabul edilemez. </w:t>
      </w:r>
    </w:p>
    <w:p w:rsidR="002D7D92" w:rsidRPr="00F65663" w:rsidRDefault="002D7D92" w:rsidP="004E63BF">
      <w:pPr>
        <w:pStyle w:val="GvdeMetni"/>
        <w:spacing w:line="240" w:lineRule="auto"/>
        <w:ind w:firstLine="360"/>
        <w:rPr>
          <w:rFonts w:ascii="Calibri" w:hAnsi="Calibri"/>
          <w:sz w:val="24"/>
          <w:szCs w:val="24"/>
        </w:rPr>
      </w:pPr>
    </w:p>
    <w:p w:rsidR="00970FD1" w:rsidRPr="00B875AD" w:rsidRDefault="00F309E2" w:rsidP="00970FD1">
      <w:pPr>
        <w:jc w:val="both"/>
        <w:rPr>
          <w:rFonts w:ascii="Calibri" w:hAnsi="Calibri"/>
          <w:b/>
        </w:rPr>
      </w:pPr>
      <w:r>
        <w:rPr>
          <w:rFonts w:ascii="Calibri" w:hAnsi="Calibri"/>
          <w:b/>
        </w:rPr>
        <w:t>202</w:t>
      </w:r>
      <w:r w:rsidR="005A5389">
        <w:rPr>
          <w:rFonts w:ascii="Calibri" w:hAnsi="Calibri"/>
          <w:b/>
        </w:rPr>
        <w:t>2</w:t>
      </w:r>
      <w:r>
        <w:rPr>
          <w:rFonts w:ascii="Calibri" w:hAnsi="Calibri"/>
          <w:b/>
        </w:rPr>
        <w:t xml:space="preserve"> MEB </w:t>
      </w:r>
      <w:r w:rsidR="004422F6">
        <w:rPr>
          <w:rFonts w:ascii="Calibri" w:hAnsi="Calibri"/>
          <w:b/>
        </w:rPr>
        <w:t>BÜTÇESİ T</w:t>
      </w:r>
      <w:r w:rsidR="004422F6" w:rsidRPr="00B875AD">
        <w:rPr>
          <w:rFonts w:ascii="Calibri" w:hAnsi="Calibri"/>
          <w:b/>
        </w:rPr>
        <w:t>ALEPLERİMİZ</w:t>
      </w:r>
    </w:p>
    <w:p w:rsidR="00970FD1" w:rsidRPr="00D167BC" w:rsidRDefault="00970FD1" w:rsidP="00970FD1">
      <w:pPr>
        <w:jc w:val="both"/>
        <w:rPr>
          <w:rFonts w:ascii="Calibri" w:hAnsi="Calibri"/>
          <w:sz w:val="16"/>
          <w:szCs w:val="16"/>
        </w:rPr>
      </w:pPr>
    </w:p>
    <w:p w:rsidR="003F422E" w:rsidRPr="003F422E" w:rsidRDefault="00970FD1" w:rsidP="003F422E">
      <w:pPr>
        <w:pStyle w:val="ListeParagraf"/>
        <w:numPr>
          <w:ilvl w:val="0"/>
          <w:numId w:val="39"/>
        </w:numPr>
        <w:tabs>
          <w:tab w:val="clear" w:pos="720"/>
          <w:tab w:val="num" w:pos="284"/>
        </w:tabs>
        <w:spacing w:after="0" w:line="240" w:lineRule="auto"/>
        <w:ind w:left="284" w:hanging="284"/>
        <w:jc w:val="both"/>
        <w:rPr>
          <w:rFonts w:cs="Calibri"/>
          <w:sz w:val="24"/>
          <w:szCs w:val="24"/>
        </w:rPr>
      </w:pPr>
      <w:r w:rsidRPr="00CD3A0E">
        <w:rPr>
          <w:rFonts w:eastAsia="Times New Roman" w:cs="Calibri"/>
          <w:sz w:val="24"/>
          <w:szCs w:val="24"/>
        </w:rPr>
        <w:t>MEB bütçe</w:t>
      </w:r>
      <w:r w:rsidR="00D13951" w:rsidRPr="00CD3A0E">
        <w:rPr>
          <w:rFonts w:eastAsia="Times New Roman" w:cs="Calibri"/>
          <w:sz w:val="24"/>
          <w:szCs w:val="24"/>
        </w:rPr>
        <w:t>s</w:t>
      </w:r>
      <w:r w:rsidRPr="00CD3A0E">
        <w:rPr>
          <w:rFonts w:eastAsia="Times New Roman" w:cs="Calibri"/>
          <w:sz w:val="24"/>
          <w:szCs w:val="24"/>
        </w:rPr>
        <w:t>inin milli gelire oranı en az iki kat arttırılmalı</w:t>
      </w:r>
      <w:r w:rsidR="00D13951" w:rsidRPr="00CD3A0E">
        <w:rPr>
          <w:rFonts w:eastAsia="Times New Roman" w:cs="Calibri"/>
          <w:sz w:val="24"/>
          <w:szCs w:val="24"/>
        </w:rPr>
        <w:t xml:space="preserve">, başlangıç olarak </w:t>
      </w:r>
      <w:r w:rsidRPr="00CD3A0E">
        <w:rPr>
          <w:rFonts w:eastAsia="Times New Roman" w:cs="Calibri"/>
          <w:sz w:val="24"/>
          <w:szCs w:val="24"/>
        </w:rPr>
        <w:t xml:space="preserve">OECD ortalamasına </w:t>
      </w:r>
      <w:r w:rsidR="00540D5A" w:rsidRPr="00CD3A0E">
        <w:rPr>
          <w:rFonts w:eastAsia="Times New Roman" w:cs="Calibri"/>
          <w:sz w:val="24"/>
          <w:szCs w:val="24"/>
        </w:rPr>
        <w:t xml:space="preserve">(%6) </w:t>
      </w:r>
      <w:r w:rsidR="003F422E">
        <w:rPr>
          <w:rFonts w:eastAsia="Times New Roman" w:cs="Calibri"/>
          <w:sz w:val="24"/>
          <w:szCs w:val="24"/>
        </w:rPr>
        <w:t>çıkarılmalıdır.</w:t>
      </w:r>
    </w:p>
    <w:p w:rsidR="00540FAB" w:rsidRPr="00540FAB" w:rsidRDefault="00970FD1" w:rsidP="00915805">
      <w:pPr>
        <w:pStyle w:val="ListeParagraf"/>
        <w:numPr>
          <w:ilvl w:val="0"/>
          <w:numId w:val="39"/>
        </w:numPr>
        <w:tabs>
          <w:tab w:val="clear" w:pos="720"/>
          <w:tab w:val="num" w:pos="284"/>
        </w:tabs>
        <w:spacing w:after="0" w:line="240" w:lineRule="auto"/>
        <w:ind w:left="284" w:hanging="284"/>
        <w:jc w:val="both"/>
        <w:rPr>
          <w:sz w:val="24"/>
        </w:rPr>
      </w:pPr>
      <w:r w:rsidRPr="00540FAB">
        <w:rPr>
          <w:rFonts w:eastAsia="Times New Roman" w:cs="Calibri"/>
          <w:sz w:val="24"/>
          <w:szCs w:val="24"/>
        </w:rPr>
        <w:t xml:space="preserve">Kamu kaynaklarının özel okullara aktarılması uygulamasına derhal son verilmeli, </w:t>
      </w:r>
      <w:r w:rsidR="00540FAB" w:rsidRPr="00540FAB">
        <w:rPr>
          <w:rFonts w:eastAsia="Times New Roman" w:cs="Calibri"/>
          <w:sz w:val="24"/>
          <w:szCs w:val="24"/>
        </w:rPr>
        <w:t xml:space="preserve">özel okullara aktarılan kaynaklar devlet okulları için harcanmalıdır. </w:t>
      </w:r>
    </w:p>
    <w:p w:rsidR="0012465F" w:rsidRPr="00540FAB" w:rsidRDefault="0012465F" w:rsidP="00915805">
      <w:pPr>
        <w:pStyle w:val="ListeParagraf"/>
        <w:numPr>
          <w:ilvl w:val="0"/>
          <w:numId w:val="39"/>
        </w:numPr>
        <w:tabs>
          <w:tab w:val="clear" w:pos="720"/>
          <w:tab w:val="num" w:pos="284"/>
        </w:tabs>
        <w:spacing w:after="0" w:line="240" w:lineRule="auto"/>
        <w:ind w:left="284" w:hanging="284"/>
        <w:jc w:val="both"/>
        <w:rPr>
          <w:sz w:val="24"/>
        </w:rPr>
      </w:pPr>
      <w:r w:rsidRPr="00540FAB">
        <w:rPr>
          <w:sz w:val="24"/>
        </w:rPr>
        <w:t>Eğitim kurumlarının bütün ihtiyaçları salgın koşulları</w:t>
      </w:r>
      <w:r w:rsidR="005A5389" w:rsidRPr="00540FAB">
        <w:rPr>
          <w:sz w:val="24"/>
        </w:rPr>
        <w:t xml:space="preserve"> göz önünde bulundurularak y</w:t>
      </w:r>
      <w:r w:rsidRPr="00540FAB">
        <w:rPr>
          <w:sz w:val="24"/>
        </w:rPr>
        <w:t xml:space="preserve">eniden güncellenmeli, bütün okullara ihtiyacı kadar ödenek ayrılmalıdır. </w:t>
      </w:r>
    </w:p>
    <w:p w:rsidR="00970FD1" w:rsidRPr="0012465F" w:rsidRDefault="00D13951" w:rsidP="00D167BC">
      <w:pPr>
        <w:pStyle w:val="ListeParagraf"/>
        <w:numPr>
          <w:ilvl w:val="0"/>
          <w:numId w:val="39"/>
        </w:numPr>
        <w:tabs>
          <w:tab w:val="clear" w:pos="720"/>
          <w:tab w:val="num" w:pos="284"/>
        </w:tabs>
        <w:spacing w:after="0" w:line="240" w:lineRule="auto"/>
        <w:ind w:left="284" w:hanging="284"/>
        <w:jc w:val="both"/>
        <w:rPr>
          <w:rFonts w:cs="Calibri"/>
          <w:sz w:val="24"/>
          <w:szCs w:val="24"/>
        </w:rPr>
      </w:pPr>
      <w:r w:rsidRPr="00CD3A0E">
        <w:rPr>
          <w:rFonts w:eastAsia="Times New Roman" w:cs="Calibri"/>
          <w:sz w:val="24"/>
          <w:szCs w:val="24"/>
        </w:rPr>
        <w:t>MEB bütçesinden e</w:t>
      </w:r>
      <w:r w:rsidR="00970FD1" w:rsidRPr="00CD3A0E">
        <w:rPr>
          <w:rFonts w:eastAsia="Times New Roman" w:cs="Calibri"/>
          <w:sz w:val="24"/>
          <w:szCs w:val="24"/>
        </w:rPr>
        <w:t xml:space="preserve">ğitim yatırımlarına ayrılan pay </w:t>
      </w:r>
      <w:r w:rsidR="005A5389">
        <w:rPr>
          <w:rFonts w:eastAsia="Times New Roman" w:cs="Calibri"/>
          <w:sz w:val="24"/>
          <w:szCs w:val="24"/>
        </w:rPr>
        <w:t xml:space="preserve">başlangıç olarak en az iki kat </w:t>
      </w:r>
      <w:r w:rsidR="00970FD1" w:rsidRPr="00CD3A0E">
        <w:rPr>
          <w:rFonts w:eastAsia="Times New Roman" w:cs="Calibri"/>
          <w:sz w:val="24"/>
          <w:szCs w:val="24"/>
        </w:rPr>
        <w:t>arttırılmalı</w:t>
      </w:r>
      <w:r w:rsidRPr="00CD3A0E">
        <w:rPr>
          <w:rFonts w:eastAsia="Times New Roman" w:cs="Calibri"/>
          <w:sz w:val="24"/>
          <w:szCs w:val="24"/>
        </w:rPr>
        <w:t xml:space="preserve">, </w:t>
      </w:r>
      <w:r w:rsidR="003F422E" w:rsidRPr="002B7ACD">
        <w:rPr>
          <w:rFonts w:eastAsia="Times New Roman" w:cs="Calibri"/>
          <w:color w:val="000000" w:themeColor="text1"/>
          <w:sz w:val="24"/>
          <w:szCs w:val="24"/>
        </w:rPr>
        <w:t xml:space="preserve">okul binaları ve derslik gereksinmesi karşılanmalı, </w:t>
      </w:r>
      <w:r w:rsidRPr="00CD3A0E">
        <w:rPr>
          <w:rFonts w:eastAsia="Times New Roman" w:cs="Calibri"/>
          <w:sz w:val="24"/>
          <w:szCs w:val="24"/>
        </w:rPr>
        <w:t>eğitimi ticarileştirmeyi hedefleyen özel sektör</w:t>
      </w:r>
      <w:r w:rsidR="00841C3E" w:rsidRPr="00CD3A0E">
        <w:rPr>
          <w:rFonts w:eastAsia="Times New Roman" w:cs="Calibri"/>
          <w:sz w:val="24"/>
          <w:szCs w:val="24"/>
        </w:rPr>
        <w:t>, dini vakıf ve cemaatlerle</w:t>
      </w:r>
      <w:r w:rsidRPr="00CD3A0E">
        <w:rPr>
          <w:rFonts w:eastAsia="Times New Roman" w:cs="Calibri"/>
          <w:sz w:val="24"/>
          <w:szCs w:val="24"/>
        </w:rPr>
        <w:t xml:space="preserve"> yapılan ya da yapılacak olan</w:t>
      </w:r>
      <w:r w:rsidR="00841C3E" w:rsidRPr="00CD3A0E">
        <w:rPr>
          <w:rFonts w:eastAsia="Times New Roman" w:cs="Calibri"/>
          <w:sz w:val="24"/>
          <w:szCs w:val="24"/>
        </w:rPr>
        <w:t xml:space="preserve"> her türlü </w:t>
      </w:r>
      <w:r w:rsidRPr="00CD3A0E">
        <w:rPr>
          <w:rFonts w:eastAsia="Times New Roman" w:cs="Calibri"/>
          <w:sz w:val="24"/>
          <w:szCs w:val="24"/>
        </w:rPr>
        <w:t>ortak proje</w:t>
      </w:r>
      <w:r w:rsidR="00841C3E" w:rsidRPr="00CD3A0E">
        <w:rPr>
          <w:rFonts w:eastAsia="Times New Roman" w:cs="Calibri"/>
          <w:sz w:val="24"/>
          <w:szCs w:val="24"/>
        </w:rPr>
        <w:t xml:space="preserve"> ve protokoller </w:t>
      </w:r>
      <w:r w:rsidR="00540FAB">
        <w:rPr>
          <w:rFonts w:eastAsia="Times New Roman" w:cs="Calibri"/>
          <w:sz w:val="24"/>
          <w:szCs w:val="24"/>
        </w:rPr>
        <w:t xml:space="preserve">derhal </w:t>
      </w:r>
      <w:r w:rsidRPr="00CD3A0E">
        <w:rPr>
          <w:rFonts w:eastAsia="Times New Roman" w:cs="Calibri"/>
          <w:sz w:val="24"/>
          <w:szCs w:val="24"/>
        </w:rPr>
        <w:t xml:space="preserve">iptal edilmelidir. </w:t>
      </w:r>
    </w:p>
    <w:p w:rsidR="00143BA9" w:rsidRPr="00CD3A0E" w:rsidRDefault="00143BA9" w:rsidP="00D167BC">
      <w:pPr>
        <w:pStyle w:val="ListeParagraf"/>
        <w:numPr>
          <w:ilvl w:val="0"/>
          <w:numId w:val="39"/>
        </w:numPr>
        <w:tabs>
          <w:tab w:val="clear" w:pos="720"/>
          <w:tab w:val="num" w:pos="284"/>
        </w:tabs>
        <w:spacing w:after="0" w:line="240" w:lineRule="auto"/>
        <w:ind w:left="284" w:hanging="284"/>
        <w:jc w:val="both"/>
        <w:rPr>
          <w:rFonts w:cs="Calibri"/>
          <w:sz w:val="24"/>
          <w:szCs w:val="24"/>
        </w:rPr>
      </w:pPr>
      <w:r w:rsidRPr="00CD3A0E">
        <w:rPr>
          <w:rFonts w:eastAsia="Times New Roman" w:cs="Calibri"/>
          <w:sz w:val="24"/>
          <w:szCs w:val="24"/>
        </w:rPr>
        <w:t>Tüm eğitim ve bilim emekçilerine insan onuruna yakışır bir ücret ve sağlıklı çalışma koşulları sağlanmalıdır</w:t>
      </w:r>
      <w:r w:rsidR="00475C5A">
        <w:rPr>
          <w:rFonts w:eastAsia="Times New Roman" w:cs="Calibri"/>
          <w:sz w:val="24"/>
          <w:szCs w:val="24"/>
        </w:rPr>
        <w:t>.</w:t>
      </w:r>
    </w:p>
    <w:p w:rsidR="00143BA9" w:rsidRPr="00CD3A0E" w:rsidRDefault="00143BA9" w:rsidP="00D167BC">
      <w:pPr>
        <w:numPr>
          <w:ilvl w:val="0"/>
          <w:numId w:val="39"/>
        </w:numPr>
        <w:tabs>
          <w:tab w:val="clear" w:pos="720"/>
          <w:tab w:val="num" w:pos="284"/>
        </w:tabs>
        <w:ind w:left="284" w:hanging="284"/>
        <w:jc w:val="both"/>
        <w:rPr>
          <w:rFonts w:ascii="Calibri" w:hAnsi="Calibri" w:cs="Calibri"/>
        </w:rPr>
      </w:pPr>
      <w:r w:rsidRPr="00CD3A0E">
        <w:rPr>
          <w:rFonts w:ascii="Calibri" w:hAnsi="Calibri" w:cs="Calibri"/>
        </w:rPr>
        <w:t xml:space="preserve">Eğitim ve bilim emekçilerinin satın alma gücünde ve ücretlerinde yaşanan kaybın giderilmesi için </w:t>
      </w:r>
      <w:r w:rsidR="005A5389">
        <w:rPr>
          <w:rFonts w:ascii="Calibri" w:hAnsi="Calibri" w:cs="Calibri"/>
        </w:rPr>
        <w:t>maaşlarda yaşanan erimeyi karşılayacak oranda</w:t>
      </w:r>
      <w:r w:rsidR="005A5389" w:rsidRPr="00CD3A0E">
        <w:rPr>
          <w:rFonts w:ascii="Calibri" w:hAnsi="Calibri" w:cs="Calibri"/>
        </w:rPr>
        <w:t xml:space="preserve"> </w:t>
      </w:r>
      <w:r w:rsidRPr="00CD3A0E">
        <w:rPr>
          <w:rFonts w:ascii="Calibri" w:hAnsi="Calibri" w:cs="Calibri"/>
        </w:rPr>
        <w:t xml:space="preserve">ek zam yapılmalıdır. </w:t>
      </w:r>
    </w:p>
    <w:p w:rsidR="00143BA9" w:rsidRPr="00CD3A0E" w:rsidRDefault="00143BA9" w:rsidP="00D167BC">
      <w:pPr>
        <w:numPr>
          <w:ilvl w:val="0"/>
          <w:numId w:val="39"/>
        </w:numPr>
        <w:tabs>
          <w:tab w:val="clear" w:pos="720"/>
          <w:tab w:val="num" w:pos="284"/>
        </w:tabs>
        <w:ind w:left="284" w:hanging="284"/>
        <w:jc w:val="both"/>
        <w:rPr>
          <w:rFonts w:ascii="Calibri" w:hAnsi="Calibri" w:cs="Calibri"/>
        </w:rPr>
      </w:pPr>
      <w:r w:rsidRPr="00CD3A0E">
        <w:rPr>
          <w:rFonts w:ascii="Calibri" w:hAnsi="Calibri" w:cs="Calibri"/>
        </w:rPr>
        <w:t>Tüm eğitim ve bilim emekçilerinin ek gösterge</w:t>
      </w:r>
      <w:r w:rsidR="00643EA1">
        <w:rPr>
          <w:rFonts w:ascii="Calibri" w:hAnsi="Calibri" w:cs="Calibri"/>
        </w:rPr>
        <w:t>s</w:t>
      </w:r>
      <w:r w:rsidRPr="00CD3A0E">
        <w:rPr>
          <w:rFonts w:ascii="Calibri" w:hAnsi="Calibri" w:cs="Calibri"/>
        </w:rPr>
        <w:t xml:space="preserve">i 3600’e çıkarılmalıdır.  </w:t>
      </w:r>
    </w:p>
    <w:p w:rsidR="00143BA9" w:rsidRPr="00CD3A0E" w:rsidRDefault="00643EA1" w:rsidP="00D167BC">
      <w:pPr>
        <w:numPr>
          <w:ilvl w:val="0"/>
          <w:numId w:val="39"/>
        </w:numPr>
        <w:tabs>
          <w:tab w:val="clear" w:pos="720"/>
          <w:tab w:val="num" w:pos="284"/>
        </w:tabs>
        <w:ind w:left="284" w:hanging="284"/>
        <w:jc w:val="both"/>
        <w:rPr>
          <w:rFonts w:ascii="Calibri" w:hAnsi="Calibri" w:cs="Calibri"/>
        </w:rPr>
      </w:pPr>
      <w:r>
        <w:rPr>
          <w:rFonts w:ascii="Calibri" w:hAnsi="Calibri" w:cs="Calibri"/>
        </w:rPr>
        <w:t>Vergi diliminden kaynaklanan</w:t>
      </w:r>
      <w:r w:rsidR="00143BA9" w:rsidRPr="00CD3A0E">
        <w:rPr>
          <w:rFonts w:ascii="Calibri" w:hAnsi="Calibri" w:cs="Calibri"/>
        </w:rPr>
        <w:t xml:space="preserve"> kayıplara son verilerek, ücretli çalışanlar için gelir vergisi oranı sabitlenmelidir. </w:t>
      </w:r>
    </w:p>
    <w:p w:rsidR="00143BA9" w:rsidRPr="00CD3A0E" w:rsidRDefault="00143BA9" w:rsidP="00D167BC">
      <w:pPr>
        <w:numPr>
          <w:ilvl w:val="0"/>
          <w:numId w:val="39"/>
        </w:numPr>
        <w:tabs>
          <w:tab w:val="clear" w:pos="720"/>
          <w:tab w:val="num" w:pos="284"/>
        </w:tabs>
        <w:ind w:left="284" w:hanging="284"/>
        <w:jc w:val="both"/>
        <w:rPr>
          <w:rFonts w:ascii="Calibri" w:hAnsi="Calibri" w:cs="Calibri"/>
        </w:rPr>
      </w:pPr>
      <w:r w:rsidRPr="00CD3A0E">
        <w:rPr>
          <w:rFonts w:ascii="Calibri" w:hAnsi="Calibri" w:cs="Calibri"/>
        </w:rPr>
        <w:t xml:space="preserve">Ek ödemelerin tamamı temel ücrete ve emekliliğe yansıtılmalı, ek ders saat ücreti hesaplanırken bir öğretmenin aylık maaş tutarı esas alınmalı ve </w:t>
      </w:r>
      <w:r w:rsidR="00C64833">
        <w:rPr>
          <w:rFonts w:ascii="Calibri" w:hAnsi="Calibri" w:cs="Calibri"/>
        </w:rPr>
        <w:t xml:space="preserve">bu ücret </w:t>
      </w:r>
      <w:r w:rsidRPr="00CD3A0E">
        <w:rPr>
          <w:rFonts w:ascii="Calibri" w:hAnsi="Calibri" w:cs="Calibri"/>
        </w:rPr>
        <w:t xml:space="preserve">gelir vergisinden muaf tutulmalıdır.  </w:t>
      </w:r>
    </w:p>
    <w:p w:rsidR="00143BA9" w:rsidRPr="00CD3A0E" w:rsidRDefault="00143BA9" w:rsidP="00D167BC">
      <w:pPr>
        <w:numPr>
          <w:ilvl w:val="0"/>
          <w:numId w:val="39"/>
        </w:numPr>
        <w:tabs>
          <w:tab w:val="clear" w:pos="720"/>
          <w:tab w:val="num" w:pos="284"/>
        </w:tabs>
        <w:ind w:left="284" w:hanging="284"/>
        <w:jc w:val="both"/>
        <w:rPr>
          <w:rFonts w:ascii="Calibri" w:hAnsi="Calibri" w:cs="Calibri"/>
        </w:rPr>
      </w:pPr>
      <w:r w:rsidRPr="00CD3A0E">
        <w:rPr>
          <w:rFonts w:ascii="Calibri" w:hAnsi="Calibri" w:cs="Calibri"/>
        </w:rPr>
        <w:lastRenderedPageBreak/>
        <w:t>Eğitim-öğretime hazırlık ödeneğinin, ayrımsız bütün eğitim ve bilim emekçilerine bir maaş tutarında ve yılda iki kez ödenmesi</w:t>
      </w:r>
      <w:r w:rsidR="005A5389">
        <w:rPr>
          <w:rFonts w:ascii="Calibri" w:hAnsi="Calibri" w:cs="Calibri"/>
        </w:rPr>
        <w:t xml:space="preserve"> sağlanmalıdır.</w:t>
      </w:r>
      <w:r w:rsidRPr="00CD3A0E">
        <w:rPr>
          <w:rFonts w:ascii="Calibri" w:hAnsi="Calibri" w:cs="Calibri"/>
        </w:rPr>
        <w:t xml:space="preserve">  </w:t>
      </w:r>
    </w:p>
    <w:p w:rsidR="00E3785F" w:rsidRPr="00CD3A0E" w:rsidRDefault="00E3785F" w:rsidP="00D167BC">
      <w:pPr>
        <w:numPr>
          <w:ilvl w:val="0"/>
          <w:numId w:val="39"/>
        </w:numPr>
        <w:tabs>
          <w:tab w:val="clear" w:pos="720"/>
          <w:tab w:val="num" w:pos="284"/>
        </w:tabs>
        <w:ind w:left="284" w:hanging="284"/>
        <w:jc w:val="both"/>
        <w:rPr>
          <w:rFonts w:ascii="Calibri" w:hAnsi="Calibri" w:cs="Calibri"/>
        </w:rPr>
      </w:pPr>
      <w:r w:rsidRPr="00CD3A0E">
        <w:rPr>
          <w:rFonts w:ascii="Calibri" w:hAnsi="Calibri" w:cs="Calibri"/>
        </w:rPr>
        <w:t>Sözleşmeli/ücretli öğretmenlik gibi her türlü güvencesiz istihdam uygulama</w:t>
      </w:r>
      <w:r w:rsidR="003D5B7F">
        <w:rPr>
          <w:rFonts w:ascii="Calibri" w:hAnsi="Calibri" w:cs="Calibri"/>
        </w:rPr>
        <w:t>sı</w:t>
      </w:r>
      <w:r w:rsidRPr="00CD3A0E">
        <w:rPr>
          <w:rFonts w:ascii="Calibri" w:hAnsi="Calibri" w:cs="Calibri"/>
        </w:rPr>
        <w:t>na</w:t>
      </w:r>
      <w:r w:rsidR="003D5B7F">
        <w:rPr>
          <w:rFonts w:ascii="Calibri" w:hAnsi="Calibri" w:cs="Calibri"/>
        </w:rPr>
        <w:t>,</w:t>
      </w:r>
      <w:r w:rsidRPr="00CD3A0E">
        <w:rPr>
          <w:rFonts w:ascii="Calibri" w:hAnsi="Calibri" w:cs="Calibri"/>
        </w:rPr>
        <w:t xml:space="preserve"> esnek, kuralsız ve angarya çalışmaya son verilmeli, sözleşmeli öğretmenlerin tamamı kadroya geçirilmelidir. </w:t>
      </w:r>
    </w:p>
    <w:p w:rsidR="00970FD1" w:rsidRPr="00CD3A0E" w:rsidRDefault="00970FD1" w:rsidP="00D167BC">
      <w:pPr>
        <w:pStyle w:val="ListeParagraf"/>
        <w:numPr>
          <w:ilvl w:val="0"/>
          <w:numId w:val="39"/>
        </w:numPr>
        <w:tabs>
          <w:tab w:val="clear" w:pos="720"/>
          <w:tab w:val="num" w:pos="284"/>
        </w:tabs>
        <w:spacing w:after="0" w:line="240" w:lineRule="auto"/>
        <w:ind w:left="284" w:hanging="284"/>
        <w:jc w:val="both"/>
        <w:rPr>
          <w:rFonts w:cs="Calibri"/>
          <w:sz w:val="24"/>
          <w:szCs w:val="24"/>
        </w:rPr>
      </w:pPr>
      <w:r w:rsidRPr="00CD3A0E">
        <w:rPr>
          <w:rFonts w:eastAsia="Times New Roman" w:cs="Calibri"/>
          <w:sz w:val="24"/>
          <w:szCs w:val="24"/>
        </w:rPr>
        <w:t>20</w:t>
      </w:r>
      <w:r w:rsidR="00143BA9" w:rsidRPr="00CD3A0E">
        <w:rPr>
          <w:rFonts w:eastAsia="Times New Roman" w:cs="Calibri"/>
          <w:sz w:val="24"/>
          <w:szCs w:val="24"/>
        </w:rPr>
        <w:t>2</w:t>
      </w:r>
      <w:r w:rsidR="005A5389">
        <w:rPr>
          <w:rFonts w:eastAsia="Times New Roman" w:cs="Calibri"/>
          <w:sz w:val="24"/>
          <w:szCs w:val="24"/>
        </w:rPr>
        <w:t>2</w:t>
      </w:r>
      <w:r w:rsidRPr="00CD3A0E">
        <w:rPr>
          <w:rFonts w:eastAsia="Times New Roman" w:cs="Calibri"/>
          <w:sz w:val="24"/>
          <w:szCs w:val="24"/>
        </w:rPr>
        <w:t xml:space="preserve"> yılında aile ve çocuk yardımı başta olmak üzere, sosyal yardımlar sembolik olarak belirlenmekten çıkarılmalı, </w:t>
      </w:r>
      <w:r w:rsidR="006B56C2">
        <w:rPr>
          <w:rFonts w:eastAsia="Times New Roman" w:cs="Calibri"/>
          <w:sz w:val="24"/>
          <w:szCs w:val="24"/>
        </w:rPr>
        <w:t xml:space="preserve">sosyal yardımlara </w:t>
      </w:r>
      <w:r w:rsidR="005A5389">
        <w:rPr>
          <w:rFonts w:eastAsia="Times New Roman" w:cs="Calibri"/>
          <w:sz w:val="24"/>
          <w:szCs w:val="24"/>
        </w:rPr>
        <w:t xml:space="preserve">günün koşullarına uygun ve </w:t>
      </w:r>
      <w:r w:rsidRPr="00CD3A0E">
        <w:rPr>
          <w:rFonts w:eastAsia="Times New Roman" w:cs="Calibri"/>
          <w:sz w:val="24"/>
          <w:szCs w:val="24"/>
        </w:rPr>
        <w:t>i</w:t>
      </w:r>
      <w:r w:rsidR="003D5B7F">
        <w:rPr>
          <w:rFonts w:eastAsia="Times New Roman" w:cs="Calibri"/>
          <w:sz w:val="24"/>
          <w:szCs w:val="24"/>
        </w:rPr>
        <w:t>htiyaç kadar artış yapılmalıdır.</w:t>
      </w:r>
    </w:p>
    <w:p w:rsidR="00977AA2" w:rsidRPr="00CD3A0E" w:rsidRDefault="00970FD1" w:rsidP="00D167BC">
      <w:pPr>
        <w:pStyle w:val="ListeParagraf"/>
        <w:numPr>
          <w:ilvl w:val="0"/>
          <w:numId w:val="39"/>
        </w:numPr>
        <w:tabs>
          <w:tab w:val="clear" w:pos="720"/>
          <w:tab w:val="num" w:pos="284"/>
        </w:tabs>
        <w:spacing w:after="0" w:line="240" w:lineRule="auto"/>
        <w:ind w:left="284" w:hanging="284"/>
        <w:jc w:val="both"/>
        <w:rPr>
          <w:rFonts w:cs="Calibri"/>
          <w:sz w:val="24"/>
          <w:szCs w:val="24"/>
        </w:rPr>
      </w:pPr>
      <w:r w:rsidRPr="00CD3A0E">
        <w:rPr>
          <w:rFonts w:eastAsia="Times New Roman" w:cs="Calibri"/>
          <w:sz w:val="24"/>
          <w:szCs w:val="24"/>
        </w:rPr>
        <w:t xml:space="preserve">Öğretmen, akademik personel, memur ve yardımcı hizmetli açıkları </w:t>
      </w:r>
      <w:r w:rsidR="005A5389">
        <w:rPr>
          <w:rFonts w:eastAsia="Times New Roman" w:cs="Calibri"/>
          <w:sz w:val="24"/>
          <w:szCs w:val="24"/>
        </w:rPr>
        <w:t xml:space="preserve">kadrolu istihdam yoluyla </w:t>
      </w:r>
      <w:r w:rsidRPr="00CD3A0E">
        <w:rPr>
          <w:rFonts w:eastAsia="Times New Roman" w:cs="Calibri"/>
          <w:sz w:val="24"/>
          <w:szCs w:val="24"/>
        </w:rPr>
        <w:t>kapatılmalı</w:t>
      </w:r>
      <w:r w:rsidR="00977AA2" w:rsidRPr="00CD3A0E">
        <w:rPr>
          <w:rFonts w:eastAsia="Times New Roman" w:cs="Calibri"/>
          <w:sz w:val="24"/>
          <w:szCs w:val="24"/>
        </w:rPr>
        <w:t xml:space="preserve">dır. </w:t>
      </w:r>
    </w:p>
    <w:p w:rsidR="00B25C48" w:rsidRPr="00CD3A0E" w:rsidRDefault="00B25C48" w:rsidP="00B25C48">
      <w:pPr>
        <w:pStyle w:val="ListeParagraf"/>
        <w:spacing w:after="0" w:line="240" w:lineRule="auto"/>
        <w:jc w:val="both"/>
        <w:rPr>
          <w:rFonts w:eastAsia="Times New Roman" w:cs="Calibri"/>
          <w:sz w:val="24"/>
          <w:szCs w:val="24"/>
        </w:rPr>
      </w:pPr>
    </w:p>
    <w:p w:rsidR="00540D5A" w:rsidRPr="00CD3A0E" w:rsidRDefault="00540D5A" w:rsidP="00701BFE">
      <w:pPr>
        <w:pStyle w:val="GvdeMetni"/>
        <w:spacing w:line="240" w:lineRule="auto"/>
        <w:rPr>
          <w:rFonts w:ascii="Calibri" w:hAnsi="Calibri" w:cs="Calibri"/>
          <w:b/>
          <w:sz w:val="24"/>
          <w:szCs w:val="24"/>
        </w:rPr>
      </w:pPr>
    </w:p>
    <w:p w:rsidR="00701BFE" w:rsidRPr="00CD3A0E" w:rsidRDefault="00701BFE" w:rsidP="00701BFE">
      <w:pPr>
        <w:pStyle w:val="GvdeMetni"/>
        <w:spacing w:line="240" w:lineRule="auto"/>
        <w:rPr>
          <w:rFonts w:ascii="Calibri" w:hAnsi="Calibri" w:cs="Calibri"/>
          <w:sz w:val="24"/>
          <w:szCs w:val="24"/>
        </w:rPr>
      </w:pPr>
    </w:p>
    <w:sectPr w:rsidR="00701BFE" w:rsidRPr="00CD3A0E" w:rsidSect="002C2B2D">
      <w:footerReference w:type="even" r:id="rId12"/>
      <w:footerReference w:type="default" r:id="rId13"/>
      <w:pgSz w:w="12242" w:h="18722" w:code="12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532" w:rsidRDefault="00660532">
      <w:r>
        <w:separator/>
      </w:r>
    </w:p>
  </w:endnote>
  <w:endnote w:type="continuationSeparator" w:id="0">
    <w:p w:rsidR="00660532" w:rsidRDefault="0066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4B" w:rsidRDefault="0029514B" w:rsidP="00C975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514B" w:rsidRDefault="0029514B" w:rsidP="00C975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4B" w:rsidRDefault="0029514B" w:rsidP="00C975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2353D">
      <w:rPr>
        <w:rStyle w:val="SayfaNumaras"/>
        <w:noProof/>
      </w:rPr>
      <w:t>4</w:t>
    </w:r>
    <w:r>
      <w:rPr>
        <w:rStyle w:val="SayfaNumaras"/>
      </w:rPr>
      <w:fldChar w:fldCharType="end"/>
    </w:r>
  </w:p>
  <w:p w:rsidR="0029514B" w:rsidRDefault="0029514B" w:rsidP="00C975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532" w:rsidRDefault="00660532">
      <w:r>
        <w:separator/>
      </w:r>
    </w:p>
  </w:footnote>
  <w:footnote w:type="continuationSeparator" w:id="0">
    <w:p w:rsidR="00660532" w:rsidRDefault="00660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 o:bullet="t">
        <v:imagedata r:id="rId1" o:title="BD15056_"/>
      </v:shape>
    </w:pict>
  </w:numPicBullet>
  <w:numPicBullet w:numPicBulletId="1">
    <w:pict>
      <v:shape id="_x0000_i1031" type="#_x0000_t75" style="width:14.25pt;height:14.25pt" o:bullet="t">
        <v:imagedata r:id="rId2" o:title="BD14752_"/>
      </v:shape>
    </w:pict>
  </w:numPicBullet>
  <w:abstractNum w:abstractNumId="0" w15:restartNumberingAfterBreak="0">
    <w:nsid w:val="00E87545"/>
    <w:multiLevelType w:val="hybridMultilevel"/>
    <w:tmpl w:val="729C3B7C"/>
    <w:lvl w:ilvl="0" w:tplc="041F000B">
      <w:start w:val="1"/>
      <w:numFmt w:val="bullet"/>
      <w:lvlText w:val=""/>
      <w:lvlJc w:val="left"/>
      <w:pPr>
        <w:tabs>
          <w:tab w:val="num" w:pos="720"/>
        </w:tabs>
        <w:ind w:left="720" w:hanging="360"/>
      </w:pPr>
      <w:rPr>
        <w:rFonts w:ascii="Wingdings" w:hAnsi="Wingdings" w:hint="default"/>
      </w:rPr>
    </w:lvl>
    <w:lvl w:ilvl="1" w:tplc="9BBE5000">
      <w:start w:val="2003"/>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C2D2E"/>
    <w:multiLevelType w:val="hybridMultilevel"/>
    <w:tmpl w:val="DDDA89A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D3D66"/>
    <w:multiLevelType w:val="hybridMultilevel"/>
    <w:tmpl w:val="54F0EA2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E7CC2"/>
    <w:multiLevelType w:val="multilevel"/>
    <w:tmpl w:val="729C3B7C"/>
    <w:lvl w:ilvl="0">
      <w:start w:val="1"/>
      <w:numFmt w:val="bullet"/>
      <w:lvlText w:val=""/>
      <w:lvlJc w:val="left"/>
      <w:pPr>
        <w:tabs>
          <w:tab w:val="num" w:pos="720"/>
        </w:tabs>
        <w:ind w:left="720" w:hanging="360"/>
      </w:pPr>
      <w:rPr>
        <w:rFonts w:ascii="Wingdings" w:hAnsi="Wingdings" w:hint="default"/>
      </w:rPr>
    </w:lvl>
    <w:lvl w:ilvl="1">
      <w:start w:val="200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12D11"/>
    <w:multiLevelType w:val="hybridMultilevel"/>
    <w:tmpl w:val="54E8E04E"/>
    <w:lvl w:ilvl="0" w:tplc="B1E2BCE8">
      <w:start w:val="1"/>
      <w:numFmt w:val="bullet"/>
      <w:lvlText w:val=""/>
      <w:lvlJc w:val="left"/>
      <w:pPr>
        <w:tabs>
          <w:tab w:val="num" w:pos="720"/>
        </w:tabs>
        <w:ind w:left="720" w:hanging="360"/>
      </w:pPr>
      <w:rPr>
        <w:rFonts w:ascii="Wingdings" w:hAnsi="Wingdings" w:hint="default"/>
      </w:rPr>
    </w:lvl>
    <w:lvl w:ilvl="1" w:tplc="C7C43DD6" w:tentative="1">
      <w:start w:val="1"/>
      <w:numFmt w:val="bullet"/>
      <w:lvlText w:val=""/>
      <w:lvlJc w:val="left"/>
      <w:pPr>
        <w:tabs>
          <w:tab w:val="num" w:pos="1440"/>
        </w:tabs>
        <w:ind w:left="1440" w:hanging="360"/>
      </w:pPr>
      <w:rPr>
        <w:rFonts w:ascii="Wingdings" w:hAnsi="Wingdings" w:hint="default"/>
      </w:rPr>
    </w:lvl>
    <w:lvl w:ilvl="2" w:tplc="CB028C22" w:tentative="1">
      <w:start w:val="1"/>
      <w:numFmt w:val="bullet"/>
      <w:lvlText w:val=""/>
      <w:lvlJc w:val="left"/>
      <w:pPr>
        <w:tabs>
          <w:tab w:val="num" w:pos="2160"/>
        </w:tabs>
        <w:ind w:left="2160" w:hanging="360"/>
      </w:pPr>
      <w:rPr>
        <w:rFonts w:ascii="Wingdings" w:hAnsi="Wingdings" w:hint="default"/>
      </w:rPr>
    </w:lvl>
    <w:lvl w:ilvl="3" w:tplc="6BFE6E06" w:tentative="1">
      <w:start w:val="1"/>
      <w:numFmt w:val="bullet"/>
      <w:lvlText w:val=""/>
      <w:lvlJc w:val="left"/>
      <w:pPr>
        <w:tabs>
          <w:tab w:val="num" w:pos="2880"/>
        </w:tabs>
        <w:ind w:left="2880" w:hanging="360"/>
      </w:pPr>
      <w:rPr>
        <w:rFonts w:ascii="Wingdings" w:hAnsi="Wingdings" w:hint="default"/>
      </w:rPr>
    </w:lvl>
    <w:lvl w:ilvl="4" w:tplc="5D608022" w:tentative="1">
      <w:start w:val="1"/>
      <w:numFmt w:val="bullet"/>
      <w:lvlText w:val=""/>
      <w:lvlJc w:val="left"/>
      <w:pPr>
        <w:tabs>
          <w:tab w:val="num" w:pos="3600"/>
        </w:tabs>
        <w:ind w:left="3600" w:hanging="360"/>
      </w:pPr>
      <w:rPr>
        <w:rFonts w:ascii="Wingdings" w:hAnsi="Wingdings" w:hint="default"/>
      </w:rPr>
    </w:lvl>
    <w:lvl w:ilvl="5" w:tplc="0B40D81A" w:tentative="1">
      <w:start w:val="1"/>
      <w:numFmt w:val="bullet"/>
      <w:lvlText w:val=""/>
      <w:lvlJc w:val="left"/>
      <w:pPr>
        <w:tabs>
          <w:tab w:val="num" w:pos="4320"/>
        </w:tabs>
        <w:ind w:left="4320" w:hanging="360"/>
      </w:pPr>
      <w:rPr>
        <w:rFonts w:ascii="Wingdings" w:hAnsi="Wingdings" w:hint="default"/>
      </w:rPr>
    </w:lvl>
    <w:lvl w:ilvl="6" w:tplc="08C4835C" w:tentative="1">
      <w:start w:val="1"/>
      <w:numFmt w:val="bullet"/>
      <w:lvlText w:val=""/>
      <w:lvlJc w:val="left"/>
      <w:pPr>
        <w:tabs>
          <w:tab w:val="num" w:pos="5040"/>
        </w:tabs>
        <w:ind w:left="5040" w:hanging="360"/>
      </w:pPr>
      <w:rPr>
        <w:rFonts w:ascii="Wingdings" w:hAnsi="Wingdings" w:hint="default"/>
      </w:rPr>
    </w:lvl>
    <w:lvl w:ilvl="7" w:tplc="F7D41820" w:tentative="1">
      <w:start w:val="1"/>
      <w:numFmt w:val="bullet"/>
      <w:lvlText w:val=""/>
      <w:lvlJc w:val="left"/>
      <w:pPr>
        <w:tabs>
          <w:tab w:val="num" w:pos="5760"/>
        </w:tabs>
        <w:ind w:left="5760" w:hanging="360"/>
      </w:pPr>
      <w:rPr>
        <w:rFonts w:ascii="Wingdings" w:hAnsi="Wingdings" w:hint="default"/>
      </w:rPr>
    </w:lvl>
    <w:lvl w:ilvl="8" w:tplc="CDC6E5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60D62"/>
    <w:multiLevelType w:val="hybridMultilevel"/>
    <w:tmpl w:val="2D32258C"/>
    <w:lvl w:ilvl="0" w:tplc="ABD0E80A">
      <w:start w:val="1"/>
      <w:numFmt w:val="bullet"/>
      <w:lvlText w:val=""/>
      <w:lvlPicBulletId w:val="0"/>
      <w:lvlJc w:val="left"/>
      <w:pPr>
        <w:tabs>
          <w:tab w:val="num" w:pos="720"/>
        </w:tabs>
        <w:ind w:left="720" w:hanging="360"/>
      </w:pPr>
      <w:rPr>
        <w:rFonts w:ascii="Symbol" w:hAnsi="Symbol" w:hint="default"/>
        <w:color w:val="auto"/>
      </w:rPr>
    </w:lvl>
    <w:lvl w:ilvl="1" w:tplc="9BBE5000">
      <w:start w:val="2003"/>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802AC3"/>
    <w:multiLevelType w:val="multilevel"/>
    <w:tmpl w:val="36781B4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7D0AA9"/>
    <w:multiLevelType w:val="hybridMultilevel"/>
    <w:tmpl w:val="61D0D994"/>
    <w:lvl w:ilvl="0" w:tplc="C792B644">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791D81"/>
    <w:multiLevelType w:val="hybridMultilevel"/>
    <w:tmpl w:val="0B04E694"/>
    <w:lvl w:ilvl="0" w:tplc="C792B644">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6731C"/>
    <w:multiLevelType w:val="hybridMultilevel"/>
    <w:tmpl w:val="36781B4E"/>
    <w:lvl w:ilvl="0" w:tplc="64AED970">
      <w:start w:val="1"/>
      <w:numFmt w:val="lowerLetter"/>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1FD86B2C"/>
    <w:multiLevelType w:val="hybridMultilevel"/>
    <w:tmpl w:val="92CAE9F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56096"/>
    <w:multiLevelType w:val="hybridMultilevel"/>
    <w:tmpl w:val="2E0855D8"/>
    <w:lvl w:ilvl="0" w:tplc="C792B644">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7303E"/>
    <w:multiLevelType w:val="multilevel"/>
    <w:tmpl w:val="7BEA5D44"/>
    <w:lvl w:ilvl="0">
      <w:start w:val="1"/>
      <w:numFmt w:val="bullet"/>
      <w:lvlText w:val=""/>
      <w:lvlJc w:val="left"/>
      <w:pPr>
        <w:tabs>
          <w:tab w:val="num" w:pos="720"/>
        </w:tabs>
        <w:ind w:left="720" w:hanging="360"/>
      </w:pPr>
      <w:rPr>
        <w:rFonts w:ascii="Wingdings" w:hAnsi="Wingdings" w:hint="default"/>
      </w:rPr>
    </w:lvl>
    <w:lvl w:ilvl="1">
      <w:start w:val="200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906E7"/>
    <w:multiLevelType w:val="hybridMultilevel"/>
    <w:tmpl w:val="FE301ABE"/>
    <w:lvl w:ilvl="0" w:tplc="408469C2">
      <w:start w:val="1"/>
      <w:numFmt w:val="bullet"/>
      <w:lvlText w:val=""/>
      <w:lvlJc w:val="left"/>
      <w:pPr>
        <w:tabs>
          <w:tab w:val="num" w:pos="720"/>
        </w:tabs>
        <w:ind w:left="720" w:hanging="360"/>
      </w:pPr>
      <w:rPr>
        <w:rFonts w:ascii="Wingdings" w:hAnsi="Wingdings" w:hint="default"/>
      </w:rPr>
    </w:lvl>
    <w:lvl w:ilvl="1" w:tplc="C07623F8" w:tentative="1">
      <w:start w:val="1"/>
      <w:numFmt w:val="bullet"/>
      <w:lvlText w:val=""/>
      <w:lvlJc w:val="left"/>
      <w:pPr>
        <w:tabs>
          <w:tab w:val="num" w:pos="1440"/>
        </w:tabs>
        <w:ind w:left="1440" w:hanging="360"/>
      </w:pPr>
      <w:rPr>
        <w:rFonts w:ascii="Wingdings" w:hAnsi="Wingdings" w:hint="default"/>
      </w:rPr>
    </w:lvl>
    <w:lvl w:ilvl="2" w:tplc="5DE47FAA" w:tentative="1">
      <w:start w:val="1"/>
      <w:numFmt w:val="bullet"/>
      <w:lvlText w:val=""/>
      <w:lvlJc w:val="left"/>
      <w:pPr>
        <w:tabs>
          <w:tab w:val="num" w:pos="2160"/>
        </w:tabs>
        <w:ind w:left="2160" w:hanging="360"/>
      </w:pPr>
      <w:rPr>
        <w:rFonts w:ascii="Wingdings" w:hAnsi="Wingdings" w:hint="default"/>
      </w:rPr>
    </w:lvl>
    <w:lvl w:ilvl="3" w:tplc="2B48ACC4" w:tentative="1">
      <w:start w:val="1"/>
      <w:numFmt w:val="bullet"/>
      <w:lvlText w:val=""/>
      <w:lvlJc w:val="left"/>
      <w:pPr>
        <w:tabs>
          <w:tab w:val="num" w:pos="2880"/>
        </w:tabs>
        <w:ind w:left="2880" w:hanging="360"/>
      </w:pPr>
      <w:rPr>
        <w:rFonts w:ascii="Wingdings" w:hAnsi="Wingdings" w:hint="default"/>
      </w:rPr>
    </w:lvl>
    <w:lvl w:ilvl="4" w:tplc="70BC400E" w:tentative="1">
      <w:start w:val="1"/>
      <w:numFmt w:val="bullet"/>
      <w:lvlText w:val=""/>
      <w:lvlJc w:val="left"/>
      <w:pPr>
        <w:tabs>
          <w:tab w:val="num" w:pos="3600"/>
        </w:tabs>
        <w:ind w:left="3600" w:hanging="360"/>
      </w:pPr>
      <w:rPr>
        <w:rFonts w:ascii="Wingdings" w:hAnsi="Wingdings" w:hint="default"/>
      </w:rPr>
    </w:lvl>
    <w:lvl w:ilvl="5" w:tplc="DFF672D8" w:tentative="1">
      <w:start w:val="1"/>
      <w:numFmt w:val="bullet"/>
      <w:lvlText w:val=""/>
      <w:lvlJc w:val="left"/>
      <w:pPr>
        <w:tabs>
          <w:tab w:val="num" w:pos="4320"/>
        </w:tabs>
        <w:ind w:left="4320" w:hanging="360"/>
      </w:pPr>
      <w:rPr>
        <w:rFonts w:ascii="Wingdings" w:hAnsi="Wingdings" w:hint="default"/>
      </w:rPr>
    </w:lvl>
    <w:lvl w:ilvl="6" w:tplc="35BE42D4" w:tentative="1">
      <w:start w:val="1"/>
      <w:numFmt w:val="bullet"/>
      <w:lvlText w:val=""/>
      <w:lvlJc w:val="left"/>
      <w:pPr>
        <w:tabs>
          <w:tab w:val="num" w:pos="5040"/>
        </w:tabs>
        <w:ind w:left="5040" w:hanging="360"/>
      </w:pPr>
      <w:rPr>
        <w:rFonts w:ascii="Wingdings" w:hAnsi="Wingdings" w:hint="default"/>
      </w:rPr>
    </w:lvl>
    <w:lvl w:ilvl="7" w:tplc="30742FE0" w:tentative="1">
      <w:start w:val="1"/>
      <w:numFmt w:val="bullet"/>
      <w:lvlText w:val=""/>
      <w:lvlJc w:val="left"/>
      <w:pPr>
        <w:tabs>
          <w:tab w:val="num" w:pos="5760"/>
        </w:tabs>
        <w:ind w:left="5760" w:hanging="360"/>
      </w:pPr>
      <w:rPr>
        <w:rFonts w:ascii="Wingdings" w:hAnsi="Wingdings" w:hint="default"/>
      </w:rPr>
    </w:lvl>
    <w:lvl w:ilvl="8" w:tplc="03AACD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1603D"/>
    <w:multiLevelType w:val="multilevel"/>
    <w:tmpl w:val="DF28890A"/>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CE3877"/>
    <w:multiLevelType w:val="hybridMultilevel"/>
    <w:tmpl w:val="D7741812"/>
    <w:lvl w:ilvl="0" w:tplc="C792B644">
      <w:start w:val="1"/>
      <w:numFmt w:val="bullet"/>
      <w:lvlText w:val=""/>
      <w:lvlJc w:val="left"/>
      <w:pPr>
        <w:tabs>
          <w:tab w:val="num" w:pos="720"/>
        </w:tabs>
        <w:ind w:left="720" w:hanging="360"/>
      </w:pPr>
      <w:rPr>
        <w:rFonts w:ascii="Symbol" w:hAnsi="Symbol" w:hint="default"/>
        <w:color w:val="auto"/>
      </w:rPr>
    </w:lvl>
    <w:lvl w:ilvl="1" w:tplc="9BBE5000">
      <w:start w:val="2003"/>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51D1B"/>
    <w:multiLevelType w:val="hybridMultilevel"/>
    <w:tmpl w:val="AEF451F0"/>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43B09E5"/>
    <w:multiLevelType w:val="multilevel"/>
    <w:tmpl w:val="729C3B7C"/>
    <w:lvl w:ilvl="0">
      <w:start w:val="1"/>
      <w:numFmt w:val="bullet"/>
      <w:lvlText w:val=""/>
      <w:lvlJc w:val="left"/>
      <w:pPr>
        <w:tabs>
          <w:tab w:val="num" w:pos="720"/>
        </w:tabs>
        <w:ind w:left="720" w:hanging="360"/>
      </w:pPr>
      <w:rPr>
        <w:rFonts w:ascii="Wingdings" w:hAnsi="Wingdings" w:hint="default"/>
      </w:rPr>
    </w:lvl>
    <w:lvl w:ilvl="1">
      <w:start w:val="200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A44BB"/>
    <w:multiLevelType w:val="hybridMultilevel"/>
    <w:tmpl w:val="04AEF6F2"/>
    <w:lvl w:ilvl="0" w:tplc="ABD0E80A">
      <w:start w:val="1"/>
      <w:numFmt w:val="bullet"/>
      <w:lvlText w:val=""/>
      <w:lvlPicBulletId w:val="0"/>
      <w:lvlJc w:val="left"/>
      <w:pPr>
        <w:tabs>
          <w:tab w:val="num" w:pos="720"/>
        </w:tabs>
        <w:ind w:left="720" w:hanging="360"/>
      </w:pPr>
      <w:rPr>
        <w:rFonts w:ascii="Symbol" w:hAnsi="Symbol" w:hint="default"/>
        <w:color w:val="auto"/>
      </w:rPr>
    </w:lvl>
    <w:lvl w:ilvl="1" w:tplc="9BBE5000">
      <w:start w:val="2003"/>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E1F27"/>
    <w:multiLevelType w:val="multilevel"/>
    <w:tmpl w:val="30AA306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EE2150"/>
    <w:multiLevelType w:val="hybridMultilevel"/>
    <w:tmpl w:val="838290E0"/>
    <w:lvl w:ilvl="0" w:tplc="041F000D">
      <w:start w:val="1"/>
      <w:numFmt w:val="bullet"/>
      <w:lvlText w:val=""/>
      <w:lvlJc w:val="left"/>
      <w:pPr>
        <w:tabs>
          <w:tab w:val="num" w:pos="720"/>
        </w:tabs>
        <w:ind w:left="720" w:hanging="360"/>
      </w:pPr>
      <w:rPr>
        <w:rFonts w:ascii="Wingdings" w:hAnsi="Wingdings" w:hint="default"/>
      </w:rPr>
    </w:lvl>
    <w:lvl w:ilvl="1" w:tplc="03B20B06" w:tentative="1">
      <w:start w:val="1"/>
      <w:numFmt w:val="bullet"/>
      <w:lvlText w:val=""/>
      <w:lvlJc w:val="left"/>
      <w:pPr>
        <w:tabs>
          <w:tab w:val="num" w:pos="1440"/>
        </w:tabs>
        <w:ind w:left="1440" w:hanging="360"/>
      </w:pPr>
      <w:rPr>
        <w:rFonts w:ascii="Wingdings" w:hAnsi="Wingdings" w:hint="default"/>
      </w:rPr>
    </w:lvl>
    <w:lvl w:ilvl="2" w:tplc="3152617A" w:tentative="1">
      <w:start w:val="1"/>
      <w:numFmt w:val="bullet"/>
      <w:lvlText w:val=""/>
      <w:lvlJc w:val="left"/>
      <w:pPr>
        <w:tabs>
          <w:tab w:val="num" w:pos="2160"/>
        </w:tabs>
        <w:ind w:left="2160" w:hanging="360"/>
      </w:pPr>
      <w:rPr>
        <w:rFonts w:ascii="Wingdings" w:hAnsi="Wingdings" w:hint="default"/>
      </w:rPr>
    </w:lvl>
    <w:lvl w:ilvl="3" w:tplc="18000E92" w:tentative="1">
      <w:start w:val="1"/>
      <w:numFmt w:val="bullet"/>
      <w:lvlText w:val=""/>
      <w:lvlJc w:val="left"/>
      <w:pPr>
        <w:tabs>
          <w:tab w:val="num" w:pos="2880"/>
        </w:tabs>
        <w:ind w:left="2880" w:hanging="360"/>
      </w:pPr>
      <w:rPr>
        <w:rFonts w:ascii="Wingdings" w:hAnsi="Wingdings" w:hint="default"/>
      </w:rPr>
    </w:lvl>
    <w:lvl w:ilvl="4" w:tplc="5F0A5A96" w:tentative="1">
      <w:start w:val="1"/>
      <w:numFmt w:val="bullet"/>
      <w:lvlText w:val=""/>
      <w:lvlJc w:val="left"/>
      <w:pPr>
        <w:tabs>
          <w:tab w:val="num" w:pos="3600"/>
        </w:tabs>
        <w:ind w:left="3600" w:hanging="360"/>
      </w:pPr>
      <w:rPr>
        <w:rFonts w:ascii="Wingdings" w:hAnsi="Wingdings" w:hint="default"/>
      </w:rPr>
    </w:lvl>
    <w:lvl w:ilvl="5" w:tplc="ADE602D4" w:tentative="1">
      <w:start w:val="1"/>
      <w:numFmt w:val="bullet"/>
      <w:lvlText w:val=""/>
      <w:lvlJc w:val="left"/>
      <w:pPr>
        <w:tabs>
          <w:tab w:val="num" w:pos="4320"/>
        </w:tabs>
        <w:ind w:left="4320" w:hanging="360"/>
      </w:pPr>
      <w:rPr>
        <w:rFonts w:ascii="Wingdings" w:hAnsi="Wingdings" w:hint="default"/>
      </w:rPr>
    </w:lvl>
    <w:lvl w:ilvl="6" w:tplc="C94E2EAE" w:tentative="1">
      <w:start w:val="1"/>
      <w:numFmt w:val="bullet"/>
      <w:lvlText w:val=""/>
      <w:lvlJc w:val="left"/>
      <w:pPr>
        <w:tabs>
          <w:tab w:val="num" w:pos="5040"/>
        </w:tabs>
        <w:ind w:left="5040" w:hanging="360"/>
      </w:pPr>
      <w:rPr>
        <w:rFonts w:ascii="Wingdings" w:hAnsi="Wingdings" w:hint="default"/>
      </w:rPr>
    </w:lvl>
    <w:lvl w:ilvl="7" w:tplc="12BE78B4" w:tentative="1">
      <w:start w:val="1"/>
      <w:numFmt w:val="bullet"/>
      <w:lvlText w:val=""/>
      <w:lvlJc w:val="left"/>
      <w:pPr>
        <w:tabs>
          <w:tab w:val="num" w:pos="5760"/>
        </w:tabs>
        <w:ind w:left="5760" w:hanging="360"/>
      </w:pPr>
      <w:rPr>
        <w:rFonts w:ascii="Wingdings" w:hAnsi="Wingdings" w:hint="default"/>
      </w:rPr>
    </w:lvl>
    <w:lvl w:ilvl="8" w:tplc="3188873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8B5E51"/>
    <w:multiLevelType w:val="hybridMultilevel"/>
    <w:tmpl w:val="30AA3068"/>
    <w:lvl w:ilvl="0" w:tplc="ABD0E80A">
      <w:start w:val="1"/>
      <w:numFmt w:val="bullet"/>
      <w:lvlText w:val=""/>
      <w:lvlPicBulletId w:val="0"/>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CF1C3F"/>
    <w:multiLevelType w:val="multilevel"/>
    <w:tmpl w:val="A6C41B90"/>
    <w:lvl w:ilvl="0">
      <w:start w:val="1"/>
      <w:numFmt w:val="bullet"/>
      <w:lvlText w:val=""/>
      <w:lvlJc w:val="left"/>
      <w:pPr>
        <w:tabs>
          <w:tab w:val="num" w:pos="720"/>
        </w:tabs>
        <w:ind w:left="720" w:hanging="360"/>
      </w:pPr>
      <w:rPr>
        <w:rFonts w:ascii="Symbol" w:hAnsi="Symbol" w:hint="default"/>
      </w:rPr>
    </w:lvl>
    <w:lvl w:ilvl="1">
      <w:start w:val="200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BA4232"/>
    <w:multiLevelType w:val="hybridMultilevel"/>
    <w:tmpl w:val="7BEA5D44"/>
    <w:lvl w:ilvl="0" w:tplc="041F000B">
      <w:start w:val="1"/>
      <w:numFmt w:val="bullet"/>
      <w:lvlText w:val=""/>
      <w:lvlJc w:val="left"/>
      <w:pPr>
        <w:tabs>
          <w:tab w:val="num" w:pos="720"/>
        </w:tabs>
        <w:ind w:left="720" w:hanging="360"/>
      </w:pPr>
      <w:rPr>
        <w:rFonts w:ascii="Wingdings" w:hAnsi="Wingdings" w:hint="default"/>
      </w:rPr>
    </w:lvl>
    <w:lvl w:ilvl="1" w:tplc="9BBE5000">
      <w:start w:val="2003"/>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02A18"/>
    <w:multiLevelType w:val="multilevel"/>
    <w:tmpl w:val="31E217F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160B4"/>
    <w:multiLevelType w:val="hybridMultilevel"/>
    <w:tmpl w:val="53E01164"/>
    <w:lvl w:ilvl="0" w:tplc="C792B644">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00232D"/>
    <w:multiLevelType w:val="hybridMultilevel"/>
    <w:tmpl w:val="7870CCD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003B4"/>
    <w:multiLevelType w:val="hybridMultilevel"/>
    <w:tmpl w:val="FEF4826E"/>
    <w:lvl w:ilvl="0" w:tplc="16E828C2">
      <w:start w:val="1"/>
      <w:numFmt w:val="bullet"/>
      <w:lvlText w:val=""/>
      <w:lvlJc w:val="left"/>
      <w:pPr>
        <w:tabs>
          <w:tab w:val="num" w:pos="720"/>
        </w:tabs>
        <w:ind w:left="720" w:hanging="360"/>
      </w:pPr>
      <w:rPr>
        <w:rFonts w:ascii="Wingdings" w:hAnsi="Wingdings" w:hint="default"/>
      </w:rPr>
    </w:lvl>
    <w:lvl w:ilvl="1" w:tplc="03B20B06" w:tentative="1">
      <w:start w:val="1"/>
      <w:numFmt w:val="bullet"/>
      <w:lvlText w:val=""/>
      <w:lvlJc w:val="left"/>
      <w:pPr>
        <w:tabs>
          <w:tab w:val="num" w:pos="1440"/>
        </w:tabs>
        <w:ind w:left="1440" w:hanging="360"/>
      </w:pPr>
      <w:rPr>
        <w:rFonts w:ascii="Wingdings" w:hAnsi="Wingdings" w:hint="default"/>
      </w:rPr>
    </w:lvl>
    <w:lvl w:ilvl="2" w:tplc="3152617A" w:tentative="1">
      <w:start w:val="1"/>
      <w:numFmt w:val="bullet"/>
      <w:lvlText w:val=""/>
      <w:lvlJc w:val="left"/>
      <w:pPr>
        <w:tabs>
          <w:tab w:val="num" w:pos="2160"/>
        </w:tabs>
        <w:ind w:left="2160" w:hanging="360"/>
      </w:pPr>
      <w:rPr>
        <w:rFonts w:ascii="Wingdings" w:hAnsi="Wingdings" w:hint="default"/>
      </w:rPr>
    </w:lvl>
    <w:lvl w:ilvl="3" w:tplc="18000E92" w:tentative="1">
      <w:start w:val="1"/>
      <w:numFmt w:val="bullet"/>
      <w:lvlText w:val=""/>
      <w:lvlJc w:val="left"/>
      <w:pPr>
        <w:tabs>
          <w:tab w:val="num" w:pos="2880"/>
        </w:tabs>
        <w:ind w:left="2880" w:hanging="360"/>
      </w:pPr>
      <w:rPr>
        <w:rFonts w:ascii="Wingdings" w:hAnsi="Wingdings" w:hint="default"/>
      </w:rPr>
    </w:lvl>
    <w:lvl w:ilvl="4" w:tplc="5F0A5A96" w:tentative="1">
      <w:start w:val="1"/>
      <w:numFmt w:val="bullet"/>
      <w:lvlText w:val=""/>
      <w:lvlJc w:val="left"/>
      <w:pPr>
        <w:tabs>
          <w:tab w:val="num" w:pos="3600"/>
        </w:tabs>
        <w:ind w:left="3600" w:hanging="360"/>
      </w:pPr>
      <w:rPr>
        <w:rFonts w:ascii="Wingdings" w:hAnsi="Wingdings" w:hint="default"/>
      </w:rPr>
    </w:lvl>
    <w:lvl w:ilvl="5" w:tplc="ADE602D4" w:tentative="1">
      <w:start w:val="1"/>
      <w:numFmt w:val="bullet"/>
      <w:lvlText w:val=""/>
      <w:lvlJc w:val="left"/>
      <w:pPr>
        <w:tabs>
          <w:tab w:val="num" w:pos="4320"/>
        </w:tabs>
        <w:ind w:left="4320" w:hanging="360"/>
      </w:pPr>
      <w:rPr>
        <w:rFonts w:ascii="Wingdings" w:hAnsi="Wingdings" w:hint="default"/>
      </w:rPr>
    </w:lvl>
    <w:lvl w:ilvl="6" w:tplc="C94E2EAE" w:tentative="1">
      <w:start w:val="1"/>
      <w:numFmt w:val="bullet"/>
      <w:lvlText w:val=""/>
      <w:lvlJc w:val="left"/>
      <w:pPr>
        <w:tabs>
          <w:tab w:val="num" w:pos="5040"/>
        </w:tabs>
        <w:ind w:left="5040" w:hanging="360"/>
      </w:pPr>
      <w:rPr>
        <w:rFonts w:ascii="Wingdings" w:hAnsi="Wingdings" w:hint="default"/>
      </w:rPr>
    </w:lvl>
    <w:lvl w:ilvl="7" w:tplc="12BE78B4" w:tentative="1">
      <w:start w:val="1"/>
      <w:numFmt w:val="bullet"/>
      <w:lvlText w:val=""/>
      <w:lvlJc w:val="left"/>
      <w:pPr>
        <w:tabs>
          <w:tab w:val="num" w:pos="5760"/>
        </w:tabs>
        <w:ind w:left="5760" w:hanging="360"/>
      </w:pPr>
      <w:rPr>
        <w:rFonts w:ascii="Wingdings" w:hAnsi="Wingdings" w:hint="default"/>
      </w:rPr>
    </w:lvl>
    <w:lvl w:ilvl="8" w:tplc="318887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B910D5"/>
    <w:multiLevelType w:val="multilevel"/>
    <w:tmpl w:val="7870CC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6B1F6D"/>
    <w:multiLevelType w:val="hybridMultilevel"/>
    <w:tmpl w:val="92D6C54E"/>
    <w:lvl w:ilvl="0" w:tplc="C792B644">
      <w:start w:val="1"/>
      <w:numFmt w:val="bullet"/>
      <w:lvlText w:val=""/>
      <w:lvlJc w:val="left"/>
      <w:pPr>
        <w:tabs>
          <w:tab w:val="num" w:pos="720"/>
        </w:tabs>
        <w:ind w:left="720" w:hanging="360"/>
      </w:pPr>
      <w:rPr>
        <w:rFonts w:ascii="Symbol" w:hAnsi="Symbol" w:hint="default"/>
        <w:color w:val="auto"/>
      </w:rPr>
    </w:lvl>
    <w:lvl w:ilvl="1" w:tplc="9BBE5000">
      <w:start w:val="2003"/>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927A46"/>
    <w:multiLevelType w:val="hybridMultilevel"/>
    <w:tmpl w:val="4CB42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60C5F97"/>
    <w:multiLevelType w:val="multilevel"/>
    <w:tmpl w:val="36781B4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AA4B74"/>
    <w:multiLevelType w:val="multilevel"/>
    <w:tmpl w:val="04AEF6F2"/>
    <w:lvl w:ilvl="0">
      <w:start w:val="1"/>
      <w:numFmt w:val="bullet"/>
      <w:lvlText w:val=""/>
      <w:lvlPicBulletId w:val="0"/>
      <w:lvlJc w:val="left"/>
      <w:pPr>
        <w:tabs>
          <w:tab w:val="num" w:pos="720"/>
        </w:tabs>
        <w:ind w:left="720" w:hanging="360"/>
      </w:pPr>
      <w:rPr>
        <w:rFonts w:ascii="Symbol" w:hAnsi="Symbol" w:hint="default"/>
        <w:color w:val="auto"/>
      </w:rPr>
    </w:lvl>
    <w:lvl w:ilvl="1">
      <w:start w:val="200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772519"/>
    <w:multiLevelType w:val="hybridMultilevel"/>
    <w:tmpl w:val="B8D426E4"/>
    <w:lvl w:ilvl="0" w:tplc="041F0009">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42D6FF7"/>
    <w:multiLevelType w:val="multilevel"/>
    <w:tmpl w:val="2D32258C"/>
    <w:lvl w:ilvl="0">
      <w:start w:val="1"/>
      <w:numFmt w:val="bullet"/>
      <w:lvlText w:val=""/>
      <w:lvlPicBulletId w:val="0"/>
      <w:lvlJc w:val="left"/>
      <w:pPr>
        <w:tabs>
          <w:tab w:val="num" w:pos="720"/>
        </w:tabs>
        <w:ind w:left="720" w:hanging="360"/>
      </w:pPr>
      <w:rPr>
        <w:rFonts w:ascii="Symbol" w:hAnsi="Symbol" w:hint="default"/>
        <w:color w:val="auto"/>
      </w:rPr>
    </w:lvl>
    <w:lvl w:ilvl="1">
      <w:start w:val="200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A76AE5"/>
    <w:multiLevelType w:val="hybridMultilevel"/>
    <w:tmpl w:val="31E217F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6C6F21"/>
    <w:multiLevelType w:val="hybridMultilevel"/>
    <w:tmpl w:val="4A9A758A"/>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370AD"/>
    <w:multiLevelType w:val="hybridMultilevel"/>
    <w:tmpl w:val="DF28890A"/>
    <w:lvl w:ilvl="0" w:tplc="CFE8AB0E">
      <w:start w:val="1"/>
      <w:numFmt w:val="bullet"/>
      <w:lvlText w:val=""/>
      <w:lvlPicBulletId w:val="1"/>
      <w:lvlJc w:val="left"/>
      <w:pPr>
        <w:tabs>
          <w:tab w:val="num" w:pos="720"/>
        </w:tabs>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328050C"/>
    <w:multiLevelType w:val="hybridMultilevel"/>
    <w:tmpl w:val="A6C41B90"/>
    <w:lvl w:ilvl="0" w:tplc="041F0001">
      <w:start w:val="1"/>
      <w:numFmt w:val="bullet"/>
      <w:lvlText w:val=""/>
      <w:lvlJc w:val="left"/>
      <w:pPr>
        <w:tabs>
          <w:tab w:val="num" w:pos="720"/>
        </w:tabs>
        <w:ind w:left="720" w:hanging="360"/>
      </w:pPr>
      <w:rPr>
        <w:rFonts w:ascii="Symbol" w:hAnsi="Symbol" w:hint="default"/>
      </w:rPr>
    </w:lvl>
    <w:lvl w:ilvl="1" w:tplc="9BBE5000">
      <w:start w:val="2003"/>
      <w:numFmt w:val="bullet"/>
      <w:lvlText w:val="-"/>
      <w:lvlJc w:val="left"/>
      <w:pPr>
        <w:tabs>
          <w:tab w:val="num" w:pos="1440"/>
        </w:tabs>
        <w:ind w:left="1440" w:hanging="360"/>
      </w:pPr>
      <w:rPr>
        <w:rFonts w:ascii="Times New Roman" w:eastAsia="Times New Roman" w:hAnsi="Times New Roman"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5"/>
  </w:num>
  <w:num w:numId="5">
    <w:abstractNumId w:val="9"/>
  </w:num>
  <w:num w:numId="6">
    <w:abstractNumId w:val="3"/>
  </w:num>
  <w:num w:numId="7">
    <w:abstractNumId w:val="38"/>
  </w:num>
  <w:num w:numId="8">
    <w:abstractNumId w:val="22"/>
  </w:num>
  <w:num w:numId="9">
    <w:abstractNumId w:val="23"/>
  </w:num>
  <w:num w:numId="10">
    <w:abstractNumId w:val="24"/>
  </w:num>
  <w:num w:numId="11">
    <w:abstractNumId w:val="10"/>
  </w:num>
  <w:num w:numId="12">
    <w:abstractNumId w:val="6"/>
  </w:num>
  <w:num w:numId="13">
    <w:abstractNumId w:val="16"/>
  </w:num>
  <w:num w:numId="14">
    <w:abstractNumId w:val="31"/>
  </w:num>
  <w:num w:numId="15">
    <w:abstractNumId w:val="33"/>
  </w:num>
  <w:num w:numId="16">
    <w:abstractNumId w:val="26"/>
  </w:num>
  <w:num w:numId="17">
    <w:abstractNumId w:val="28"/>
  </w:num>
  <w:num w:numId="18">
    <w:abstractNumId w:val="36"/>
  </w:num>
  <w:num w:numId="19">
    <w:abstractNumId w:val="12"/>
  </w:num>
  <w:num w:numId="20">
    <w:abstractNumId w:val="5"/>
  </w:num>
  <w:num w:numId="21">
    <w:abstractNumId w:val="17"/>
  </w:num>
  <w:num w:numId="22">
    <w:abstractNumId w:val="18"/>
  </w:num>
  <w:num w:numId="23">
    <w:abstractNumId w:val="37"/>
  </w:num>
  <w:num w:numId="24">
    <w:abstractNumId w:val="14"/>
  </w:num>
  <w:num w:numId="25">
    <w:abstractNumId w:val="21"/>
  </w:num>
  <w:num w:numId="26">
    <w:abstractNumId w:val="19"/>
  </w:num>
  <w:num w:numId="27">
    <w:abstractNumId w:val="25"/>
  </w:num>
  <w:num w:numId="28">
    <w:abstractNumId w:val="8"/>
  </w:num>
  <w:num w:numId="29">
    <w:abstractNumId w:val="32"/>
  </w:num>
  <w:num w:numId="30">
    <w:abstractNumId w:val="29"/>
  </w:num>
  <w:num w:numId="31">
    <w:abstractNumId w:val="34"/>
  </w:num>
  <w:num w:numId="32">
    <w:abstractNumId w:val="15"/>
  </w:num>
  <w:num w:numId="33">
    <w:abstractNumId w:val="13"/>
  </w:num>
  <w:num w:numId="34">
    <w:abstractNumId w:val="27"/>
  </w:num>
  <w:num w:numId="35">
    <w:abstractNumId w:val="11"/>
  </w:num>
  <w:num w:numId="36">
    <w:abstractNumId w:val="4"/>
  </w:num>
  <w:num w:numId="37">
    <w:abstractNumId w:val="7"/>
  </w:num>
  <w:num w:numId="38">
    <w:abstractNumId w:val="3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4D"/>
    <w:rsid w:val="000038AC"/>
    <w:rsid w:val="00013D83"/>
    <w:rsid w:val="00017D0C"/>
    <w:rsid w:val="00026CFF"/>
    <w:rsid w:val="00035B3E"/>
    <w:rsid w:val="00036CC1"/>
    <w:rsid w:val="000568EB"/>
    <w:rsid w:val="0006167F"/>
    <w:rsid w:val="000625A1"/>
    <w:rsid w:val="00062B46"/>
    <w:rsid w:val="000754FF"/>
    <w:rsid w:val="00077B5B"/>
    <w:rsid w:val="0009097F"/>
    <w:rsid w:val="000917BA"/>
    <w:rsid w:val="000942B3"/>
    <w:rsid w:val="00095E4B"/>
    <w:rsid w:val="000B0C64"/>
    <w:rsid w:val="000B1FD5"/>
    <w:rsid w:val="000B2F2C"/>
    <w:rsid w:val="000D660D"/>
    <w:rsid w:val="000E0F68"/>
    <w:rsid w:val="000E12EC"/>
    <w:rsid w:val="000E1B92"/>
    <w:rsid w:val="000F4066"/>
    <w:rsid w:val="000F4F61"/>
    <w:rsid w:val="000F5907"/>
    <w:rsid w:val="001030CC"/>
    <w:rsid w:val="00111F4F"/>
    <w:rsid w:val="00113724"/>
    <w:rsid w:val="00123325"/>
    <w:rsid w:val="0012465F"/>
    <w:rsid w:val="00125728"/>
    <w:rsid w:val="00135DA0"/>
    <w:rsid w:val="001366DA"/>
    <w:rsid w:val="00136BE6"/>
    <w:rsid w:val="001407D9"/>
    <w:rsid w:val="00143BA9"/>
    <w:rsid w:val="00151DCE"/>
    <w:rsid w:val="00153E6B"/>
    <w:rsid w:val="00160E44"/>
    <w:rsid w:val="00161EC2"/>
    <w:rsid w:val="00161F63"/>
    <w:rsid w:val="00164FAE"/>
    <w:rsid w:val="00167040"/>
    <w:rsid w:val="00170C62"/>
    <w:rsid w:val="001821B9"/>
    <w:rsid w:val="0018467A"/>
    <w:rsid w:val="001850CE"/>
    <w:rsid w:val="001978F4"/>
    <w:rsid w:val="001B0393"/>
    <w:rsid w:val="001B2D52"/>
    <w:rsid w:val="001B5A3B"/>
    <w:rsid w:val="001B6820"/>
    <w:rsid w:val="001B72CE"/>
    <w:rsid w:val="001C1E3B"/>
    <w:rsid w:val="001C7929"/>
    <w:rsid w:val="001D1FA1"/>
    <w:rsid w:val="001D7204"/>
    <w:rsid w:val="001E27CA"/>
    <w:rsid w:val="001E46CF"/>
    <w:rsid w:val="001E6532"/>
    <w:rsid w:val="001F1316"/>
    <w:rsid w:val="002022C4"/>
    <w:rsid w:val="00202CB0"/>
    <w:rsid w:val="0021244E"/>
    <w:rsid w:val="00215372"/>
    <w:rsid w:val="002209EF"/>
    <w:rsid w:val="00222AE5"/>
    <w:rsid w:val="00222FCB"/>
    <w:rsid w:val="002305A6"/>
    <w:rsid w:val="002417C0"/>
    <w:rsid w:val="00242C35"/>
    <w:rsid w:val="00244231"/>
    <w:rsid w:val="00246712"/>
    <w:rsid w:val="0025060B"/>
    <w:rsid w:val="00256FA9"/>
    <w:rsid w:val="0026151E"/>
    <w:rsid w:val="002706EE"/>
    <w:rsid w:val="0027215D"/>
    <w:rsid w:val="0027287E"/>
    <w:rsid w:val="00275B14"/>
    <w:rsid w:val="00280C2C"/>
    <w:rsid w:val="0029514B"/>
    <w:rsid w:val="00296EEF"/>
    <w:rsid w:val="0029718C"/>
    <w:rsid w:val="002A4025"/>
    <w:rsid w:val="002B3A70"/>
    <w:rsid w:val="002B7ACD"/>
    <w:rsid w:val="002C2B2D"/>
    <w:rsid w:val="002D2684"/>
    <w:rsid w:val="002D7D92"/>
    <w:rsid w:val="002E09A3"/>
    <w:rsid w:val="002E6EE8"/>
    <w:rsid w:val="002F0F12"/>
    <w:rsid w:val="00301012"/>
    <w:rsid w:val="00311F9B"/>
    <w:rsid w:val="003154D5"/>
    <w:rsid w:val="00315805"/>
    <w:rsid w:val="0031779C"/>
    <w:rsid w:val="0032087A"/>
    <w:rsid w:val="0032353D"/>
    <w:rsid w:val="00334E35"/>
    <w:rsid w:val="00341A4E"/>
    <w:rsid w:val="0034518E"/>
    <w:rsid w:val="003451D3"/>
    <w:rsid w:val="003501DD"/>
    <w:rsid w:val="0035190D"/>
    <w:rsid w:val="003639BA"/>
    <w:rsid w:val="003642D3"/>
    <w:rsid w:val="00371EC7"/>
    <w:rsid w:val="003722A5"/>
    <w:rsid w:val="00374CA6"/>
    <w:rsid w:val="00377D79"/>
    <w:rsid w:val="003842A9"/>
    <w:rsid w:val="00391043"/>
    <w:rsid w:val="00391ABB"/>
    <w:rsid w:val="003A0884"/>
    <w:rsid w:val="003A3898"/>
    <w:rsid w:val="003A65C1"/>
    <w:rsid w:val="003A6CDD"/>
    <w:rsid w:val="003A6FD1"/>
    <w:rsid w:val="003B22DE"/>
    <w:rsid w:val="003B2F92"/>
    <w:rsid w:val="003B3AEC"/>
    <w:rsid w:val="003C3DBB"/>
    <w:rsid w:val="003D00C4"/>
    <w:rsid w:val="003D0EF8"/>
    <w:rsid w:val="003D5B7F"/>
    <w:rsid w:val="003E4816"/>
    <w:rsid w:val="003E4B8D"/>
    <w:rsid w:val="003E5925"/>
    <w:rsid w:val="003E6DDF"/>
    <w:rsid w:val="003F034E"/>
    <w:rsid w:val="003F12B2"/>
    <w:rsid w:val="003F2253"/>
    <w:rsid w:val="003F422E"/>
    <w:rsid w:val="003F461F"/>
    <w:rsid w:val="00403A7D"/>
    <w:rsid w:val="00415FC2"/>
    <w:rsid w:val="004165C5"/>
    <w:rsid w:val="004179D4"/>
    <w:rsid w:val="00417D9B"/>
    <w:rsid w:val="004200B1"/>
    <w:rsid w:val="00431466"/>
    <w:rsid w:val="00440E04"/>
    <w:rsid w:val="00440F77"/>
    <w:rsid w:val="004422F6"/>
    <w:rsid w:val="00462B3C"/>
    <w:rsid w:val="00475C5A"/>
    <w:rsid w:val="00487F82"/>
    <w:rsid w:val="00490298"/>
    <w:rsid w:val="004A5B27"/>
    <w:rsid w:val="004A6F0C"/>
    <w:rsid w:val="004B7F13"/>
    <w:rsid w:val="004C27D7"/>
    <w:rsid w:val="004D13DE"/>
    <w:rsid w:val="004D5EA3"/>
    <w:rsid w:val="004E51BE"/>
    <w:rsid w:val="004E63BF"/>
    <w:rsid w:val="004F080C"/>
    <w:rsid w:val="00500CDC"/>
    <w:rsid w:val="00502F1E"/>
    <w:rsid w:val="00510C26"/>
    <w:rsid w:val="00517E09"/>
    <w:rsid w:val="00522AFF"/>
    <w:rsid w:val="00523247"/>
    <w:rsid w:val="00525C57"/>
    <w:rsid w:val="00531CC6"/>
    <w:rsid w:val="00536F55"/>
    <w:rsid w:val="00540D5A"/>
    <w:rsid w:val="00540FAB"/>
    <w:rsid w:val="00553EAD"/>
    <w:rsid w:val="00560224"/>
    <w:rsid w:val="00562C4E"/>
    <w:rsid w:val="0057732F"/>
    <w:rsid w:val="00577BE6"/>
    <w:rsid w:val="005963DA"/>
    <w:rsid w:val="00596656"/>
    <w:rsid w:val="005A184F"/>
    <w:rsid w:val="005A2ED1"/>
    <w:rsid w:val="005A5389"/>
    <w:rsid w:val="005A5D2D"/>
    <w:rsid w:val="005B404F"/>
    <w:rsid w:val="005B52A0"/>
    <w:rsid w:val="005C0A9E"/>
    <w:rsid w:val="005C1F28"/>
    <w:rsid w:val="005C45AF"/>
    <w:rsid w:val="005C4AA7"/>
    <w:rsid w:val="005D472D"/>
    <w:rsid w:val="005D6B4F"/>
    <w:rsid w:val="00607D08"/>
    <w:rsid w:val="0061029C"/>
    <w:rsid w:val="00614A19"/>
    <w:rsid w:val="00622468"/>
    <w:rsid w:val="00627673"/>
    <w:rsid w:val="00631A83"/>
    <w:rsid w:val="006327D1"/>
    <w:rsid w:val="00636442"/>
    <w:rsid w:val="00642487"/>
    <w:rsid w:val="00643EA1"/>
    <w:rsid w:val="0064471B"/>
    <w:rsid w:val="006453D8"/>
    <w:rsid w:val="00650A24"/>
    <w:rsid w:val="00660532"/>
    <w:rsid w:val="006662FE"/>
    <w:rsid w:val="006708F4"/>
    <w:rsid w:val="00672A2F"/>
    <w:rsid w:val="00675466"/>
    <w:rsid w:val="00676852"/>
    <w:rsid w:val="006772C9"/>
    <w:rsid w:val="0068053D"/>
    <w:rsid w:val="006903C9"/>
    <w:rsid w:val="006A031A"/>
    <w:rsid w:val="006A2AAD"/>
    <w:rsid w:val="006A4018"/>
    <w:rsid w:val="006A7497"/>
    <w:rsid w:val="006B56C2"/>
    <w:rsid w:val="006C4D5F"/>
    <w:rsid w:val="006C5822"/>
    <w:rsid w:val="006D1E45"/>
    <w:rsid w:val="006D3941"/>
    <w:rsid w:val="006D4C38"/>
    <w:rsid w:val="006D79D9"/>
    <w:rsid w:val="006E1CE1"/>
    <w:rsid w:val="006E2951"/>
    <w:rsid w:val="006E554D"/>
    <w:rsid w:val="006E6C77"/>
    <w:rsid w:val="006F4BCA"/>
    <w:rsid w:val="006F63FE"/>
    <w:rsid w:val="00701BFE"/>
    <w:rsid w:val="0070503E"/>
    <w:rsid w:val="00712DC1"/>
    <w:rsid w:val="00727521"/>
    <w:rsid w:val="00732B1B"/>
    <w:rsid w:val="00740A4E"/>
    <w:rsid w:val="00744B40"/>
    <w:rsid w:val="007456BA"/>
    <w:rsid w:val="007559D8"/>
    <w:rsid w:val="00763946"/>
    <w:rsid w:val="00765770"/>
    <w:rsid w:val="0078088D"/>
    <w:rsid w:val="007905C8"/>
    <w:rsid w:val="00791DBB"/>
    <w:rsid w:val="00793014"/>
    <w:rsid w:val="00795BAA"/>
    <w:rsid w:val="007A1597"/>
    <w:rsid w:val="007A403A"/>
    <w:rsid w:val="007A41B9"/>
    <w:rsid w:val="007C143D"/>
    <w:rsid w:val="007C63F2"/>
    <w:rsid w:val="007C6A8E"/>
    <w:rsid w:val="007C7A24"/>
    <w:rsid w:val="007D4698"/>
    <w:rsid w:val="007F0305"/>
    <w:rsid w:val="007F7143"/>
    <w:rsid w:val="00806926"/>
    <w:rsid w:val="0081121A"/>
    <w:rsid w:val="00815A54"/>
    <w:rsid w:val="0082232B"/>
    <w:rsid w:val="00823C25"/>
    <w:rsid w:val="0083301C"/>
    <w:rsid w:val="008331E2"/>
    <w:rsid w:val="00841867"/>
    <w:rsid w:val="00841C3E"/>
    <w:rsid w:val="0084473F"/>
    <w:rsid w:val="0084798F"/>
    <w:rsid w:val="00851AA3"/>
    <w:rsid w:val="00852B1F"/>
    <w:rsid w:val="008615E0"/>
    <w:rsid w:val="00874643"/>
    <w:rsid w:val="00882307"/>
    <w:rsid w:val="00883BE3"/>
    <w:rsid w:val="008A10AB"/>
    <w:rsid w:val="008C2DC8"/>
    <w:rsid w:val="008C541A"/>
    <w:rsid w:val="008C5B9A"/>
    <w:rsid w:val="008D7DC4"/>
    <w:rsid w:val="008E20DB"/>
    <w:rsid w:val="008E47C1"/>
    <w:rsid w:val="008E76E1"/>
    <w:rsid w:val="008F3EDC"/>
    <w:rsid w:val="008F7039"/>
    <w:rsid w:val="00906FE6"/>
    <w:rsid w:val="0091107D"/>
    <w:rsid w:val="009115F2"/>
    <w:rsid w:val="00916661"/>
    <w:rsid w:val="00916D03"/>
    <w:rsid w:val="00917E73"/>
    <w:rsid w:val="00920616"/>
    <w:rsid w:val="009226E7"/>
    <w:rsid w:val="00930949"/>
    <w:rsid w:val="00941E9F"/>
    <w:rsid w:val="00944947"/>
    <w:rsid w:val="00944DE3"/>
    <w:rsid w:val="009459F9"/>
    <w:rsid w:val="009568DF"/>
    <w:rsid w:val="00965924"/>
    <w:rsid w:val="00966FBF"/>
    <w:rsid w:val="00970FD1"/>
    <w:rsid w:val="00972AB6"/>
    <w:rsid w:val="0097745E"/>
    <w:rsid w:val="00977AA2"/>
    <w:rsid w:val="00980AE5"/>
    <w:rsid w:val="00992826"/>
    <w:rsid w:val="009A1C67"/>
    <w:rsid w:val="009A372F"/>
    <w:rsid w:val="009B2B70"/>
    <w:rsid w:val="009D5BF3"/>
    <w:rsid w:val="009E2FCE"/>
    <w:rsid w:val="009F4768"/>
    <w:rsid w:val="009F4941"/>
    <w:rsid w:val="009F7AA9"/>
    <w:rsid w:val="00A0156B"/>
    <w:rsid w:val="00A1528C"/>
    <w:rsid w:val="00A16F75"/>
    <w:rsid w:val="00A37D89"/>
    <w:rsid w:val="00A50240"/>
    <w:rsid w:val="00A57185"/>
    <w:rsid w:val="00A5722B"/>
    <w:rsid w:val="00A6017A"/>
    <w:rsid w:val="00A60406"/>
    <w:rsid w:val="00A63BBA"/>
    <w:rsid w:val="00A70515"/>
    <w:rsid w:val="00A715B9"/>
    <w:rsid w:val="00A8617C"/>
    <w:rsid w:val="00A956B5"/>
    <w:rsid w:val="00A97949"/>
    <w:rsid w:val="00AA0742"/>
    <w:rsid w:val="00AA6DF4"/>
    <w:rsid w:val="00AA7A1B"/>
    <w:rsid w:val="00AB6B05"/>
    <w:rsid w:val="00AD3788"/>
    <w:rsid w:val="00AD51BF"/>
    <w:rsid w:val="00AD66C7"/>
    <w:rsid w:val="00AD67FE"/>
    <w:rsid w:val="00AE24B0"/>
    <w:rsid w:val="00AE3993"/>
    <w:rsid w:val="00AE4AD9"/>
    <w:rsid w:val="00AE6AFC"/>
    <w:rsid w:val="00AF0BE6"/>
    <w:rsid w:val="00B005CF"/>
    <w:rsid w:val="00B00E7C"/>
    <w:rsid w:val="00B17277"/>
    <w:rsid w:val="00B21663"/>
    <w:rsid w:val="00B259B1"/>
    <w:rsid w:val="00B25C48"/>
    <w:rsid w:val="00B40F66"/>
    <w:rsid w:val="00B527D1"/>
    <w:rsid w:val="00B5463A"/>
    <w:rsid w:val="00B6591D"/>
    <w:rsid w:val="00B66F29"/>
    <w:rsid w:val="00B80EDB"/>
    <w:rsid w:val="00B845ED"/>
    <w:rsid w:val="00B84C44"/>
    <w:rsid w:val="00B875AD"/>
    <w:rsid w:val="00B93AC4"/>
    <w:rsid w:val="00B93FA5"/>
    <w:rsid w:val="00B943B0"/>
    <w:rsid w:val="00BA5321"/>
    <w:rsid w:val="00BB157C"/>
    <w:rsid w:val="00BB355A"/>
    <w:rsid w:val="00BB6AF1"/>
    <w:rsid w:val="00BC54D1"/>
    <w:rsid w:val="00BD7E3A"/>
    <w:rsid w:val="00BE7639"/>
    <w:rsid w:val="00BF18BB"/>
    <w:rsid w:val="00BF41D7"/>
    <w:rsid w:val="00BF4B01"/>
    <w:rsid w:val="00BF58D5"/>
    <w:rsid w:val="00C00BDE"/>
    <w:rsid w:val="00C21A3D"/>
    <w:rsid w:val="00C25D69"/>
    <w:rsid w:val="00C2772C"/>
    <w:rsid w:val="00C3566B"/>
    <w:rsid w:val="00C358E0"/>
    <w:rsid w:val="00C4225F"/>
    <w:rsid w:val="00C42E0F"/>
    <w:rsid w:val="00C44516"/>
    <w:rsid w:val="00C45637"/>
    <w:rsid w:val="00C55EB8"/>
    <w:rsid w:val="00C575F1"/>
    <w:rsid w:val="00C64833"/>
    <w:rsid w:val="00C832A9"/>
    <w:rsid w:val="00C9415E"/>
    <w:rsid w:val="00C9727E"/>
    <w:rsid w:val="00C97558"/>
    <w:rsid w:val="00CA0B9E"/>
    <w:rsid w:val="00CA4F76"/>
    <w:rsid w:val="00CA62A6"/>
    <w:rsid w:val="00CB1ADB"/>
    <w:rsid w:val="00CB2184"/>
    <w:rsid w:val="00CB43A4"/>
    <w:rsid w:val="00CB65E4"/>
    <w:rsid w:val="00CD2562"/>
    <w:rsid w:val="00CD3A0E"/>
    <w:rsid w:val="00CD5E3B"/>
    <w:rsid w:val="00CD5F30"/>
    <w:rsid w:val="00CE31E1"/>
    <w:rsid w:val="00CE7778"/>
    <w:rsid w:val="00D0135D"/>
    <w:rsid w:val="00D0240E"/>
    <w:rsid w:val="00D12C13"/>
    <w:rsid w:val="00D13951"/>
    <w:rsid w:val="00D167BC"/>
    <w:rsid w:val="00D23EE8"/>
    <w:rsid w:val="00D250C7"/>
    <w:rsid w:val="00D42541"/>
    <w:rsid w:val="00D43665"/>
    <w:rsid w:val="00D47547"/>
    <w:rsid w:val="00D47C6A"/>
    <w:rsid w:val="00D51335"/>
    <w:rsid w:val="00D53CB2"/>
    <w:rsid w:val="00D64060"/>
    <w:rsid w:val="00D65A8B"/>
    <w:rsid w:val="00D734D3"/>
    <w:rsid w:val="00D745A9"/>
    <w:rsid w:val="00D85616"/>
    <w:rsid w:val="00D8683D"/>
    <w:rsid w:val="00DA33C7"/>
    <w:rsid w:val="00DC08CE"/>
    <w:rsid w:val="00DC501F"/>
    <w:rsid w:val="00DF05D0"/>
    <w:rsid w:val="00DF3A26"/>
    <w:rsid w:val="00DF510E"/>
    <w:rsid w:val="00E03883"/>
    <w:rsid w:val="00E052DA"/>
    <w:rsid w:val="00E208E3"/>
    <w:rsid w:val="00E21961"/>
    <w:rsid w:val="00E22ACF"/>
    <w:rsid w:val="00E33CEE"/>
    <w:rsid w:val="00E3785F"/>
    <w:rsid w:val="00E41C06"/>
    <w:rsid w:val="00E61070"/>
    <w:rsid w:val="00E66E6A"/>
    <w:rsid w:val="00E70771"/>
    <w:rsid w:val="00E73436"/>
    <w:rsid w:val="00E74642"/>
    <w:rsid w:val="00E82005"/>
    <w:rsid w:val="00E839A9"/>
    <w:rsid w:val="00E9641B"/>
    <w:rsid w:val="00EB06E3"/>
    <w:rsid w:val="00EC413F"/>
    <w:rsid w:val="00ED1743"/>
    <w:rsid w:val="00EE3D35"/>
    <w:rsid w:val="00EF40D7"/>
    <w:rsid w:val="00EF7669"/>
    <w:rsid w:val="00F01217"/>
    <w:rsid w:val="00F10A3A"/>
    <w:rsid w:val="00F12B38"/>
    <w:rsid w:val="00F20F69"/>
    <w:rsid w:val="00F238D6"/>
    <w:rsid w:val="00F25E9C"/>
    <w:rsid w:val="00F26EB1"/>
    <w:rsid w:val="00F3004A"/>
    <w:rsid w:val="00F304A0"/>
    <w:rsid w:val="00F309E2"/>
    <w:rsid w:val="00F40B60"/>
    <w:rsid w:val="00F4157D"/>
    <w:rsid w:val="00F50FC3"/>
    <w:rsid w:val="00F55947"/>
    <w:rsid w:val="00F60F94"/>
    <w:rsid w:val="00F64F55"/>
    <w:rsid w:val="00F65663"/>
    <w:rsid w:val="00F672A7"/>
    <w:rsid w:val="00F74FEE"/>
    <w:rsid w:val="00F773B3"/>
    <w:rsid w:val="00F81AB3"/>
    <w:rsid w:val="00F92256"/>
    <w:rsid w:val="00F949C2"/>
    <w:rsid w:val="00F9765E"/>
    <w:rsid w:val="00FA6C7C"/>
    <w:rsid w:val="00FA7A68"/>
    <w:rsid w:val="00FB2753"/>
    <w:rsid w:val="00FB3E6E"/>
    <w:rsid w:val="00FC61BD"/>
    <w:rsid w:val="00FC7E43"/>
    <w:rsid w:val="00FD120A"/>
    <w:rsid w:val="00FE2702"/>
    <w:rsid w:val="00FF23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BC7836-B881-4ED9-8D7D-4140B42A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5CF"/>
    <w:rPr>
      <w:sz w:val="24"/>
      <w:szCs w:val="24"/>
    </w:rPr>
  </w:style>
  <w:style w:type="paragraph" w:styleId="Balk1">
    <w:name w:val="heading 1"/>
    <w:basedOn w:val="Normal"/>
    <w:next w:val="Normal"/>
    <w:link w:val="Balk1Char"/>
    <w:qFormat/>
    <w:rsid w:val="00B005CF"/>
    <w:pPr>
      <w:keepNext/>
      <w:outlineLvl w:val="0"/>
    </w:pPr>
    <w:rPr>
      <w:szCs w:val="20"/>
    </w:rPr>
  </w:style>
  <w:style w:type="paragraph" w:styleId="Balk2">
    <w:name w:val="heading 2"/>
    <w:basedOn w:val="Normal"/>
    <w:next w:val="Normal"/>
    <w:qFormat/>
    <w:rsid w:val="00B66F29"/>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B66F29"/>
    <w:pPr>
      <w:keepNext/>
      <w:spacing w:before="240" w:after="60"/>
      <w:outlineLvl w:val="2"/>
    </w:pPr>
    <w:rPr>
      <w:rFonts w:ascii="Arial" w:hAnsi="Arial" w:cs="Arial"/>
      <w:b/>
      <w:bCs/>
      <w:sz w:val="26"/>
      <w:szCs w:val="26"/>
    </w:rPr>
  </w:style>
  <w:style w:type="paragraph" w:styleId="Balk5">
    <w:name w:val="heading 5"/>
    <w:basedOn w:val="Normal"/>
    <w:next w:val="Normal"/>
    <w:qFormat/>
    <w:rsid w:val="00B66F29"/>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B005CF"/>
    <w:pPr>
      <w:tabs>
        <w:tab w:val="center" w:pos="4536"/>
        <w:tab w:val="right" w:pos="9072"/>
      </w:tabs>
    </w:pPr>
    <w:rPr>
      <w:sz w:val="20"/>
      <w:szCs w:val="20"/>
    </w:rPr>
  </w:style>
  <w:style w:type="paragraph" w:styleId="GvdeMetniGirintisi2">
    <w:name w:val="Body Text Indent 2"/>
    <w:basedOn w:val="Normal"/>
    <w:rsid w:val="00B005CF"/>
    <w:pPr>
      <w:ind w:firstLine="284"/>
      <w:jc w:val="both"/>
    </w:pPr>
    <w:rPr>
      <w:sz w:val="22"/>
      <w:szCs w:val="20"/>
    </w:rPr>
  </w:style>
  <w:style w:type="paragraph" w:styleId="GvdeMetni">
    <w:name w:val="Body Text"/>
    <w:basedOn w:val="Normal"/>
    <w:rsid w:val="00B005CF"/>
    <w:pPr>
      <w:spacing w:line="360" w:lineRule="auto"/>
      <w:jc w:val="both"/>
    </w:pPr>
    <w:rPr>
      <w:sz w:val="22"/>
      <w:szCs w:val="20"/>
    </w:rPr>
  </w:style>
  <w:style w:type="table" w:styleId="TabloWeb2">
    <w:name w:val="Table Web 2"/>
    <w:basedOn w:val="NormalTablo"/>
    <w:rsid w:val="00B66F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onMetni">
    <w:name w:val="Balloon Text"/>
    <w:basedOn w:val="Normal"/>
    <w:semiHidden/>
    <w:rsid w:val="006E6C77"/>
    <w:rPr>
      <w:rFonts w:ascii="Tahoma" w:hAnsi="Tahoma" w:cs="Tahoma"/>
      <w:sz w:val="16"/>
      <w:szCs w:val="16"/>
    </w:rPr>
  </w:style>
  <w:style w:type="character" w:styleId="SayfaNumaras">
    <w:name w:val="page number"/>
    <w:basedOn w:val="VarsaylanParagrafYazTipi"/>
    <w:rsid w:val="00C97558"/>
  </w:style>
  <w:style w:type="table" w:styleId="TabloKlavuzu">
    <w:name w:val="Table Grid"/>
    <w:basedOn w:val="NormalTablo"/>
    <w:uiPriority w:val="39"/>
    <w:rsid w:val="00D8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Zarif">
    <w:name w:val="Table Elegant"/>
    <w:basedOn w:val="NormalTablo"/>
    <w:rsid w:val="00BE763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mnb">
    <w:name w:val="mnb"/>
    <w:basedOn w:val="VarsaylanParagrafYazTipi"/>
    <w:rsid w:val="00FA7A68"/>
  </w:style>
  <w:style w:type="paragraph" w:styleId="DipnotMetni">
    <w:name w:val="footnote text"/>
    <w:aliases w:val="çağ dipnot Metni"/>
    <w:basedOn w:val="Normal"/>
    <w:link w:val="DipnotMetniChar"/>
    <w:uiPriority w:val="99"/>
    <w:semiHidden/>
    <w:rsid w:val="002209EF"/>
    <w:rPr>
      <w:sz w:val="20"/>
      <w:szCs w:val="20"/>
    </w:rPr>
  </w:style>
  <w:style w:type="paragraph" w:styleId="NormalWeb">
    <w:name w:val="Normal (Web)"/>
    <w:basedOn w:val="Normal"/>
    <w:rsid w:val="00CE7778"/>
    <w:pPr>
      <w:spacing w:before="100" w:beforeAutospacing="1" w:after="100" w:afterAutospacing="1"/>
    </w:pPr>
  </w:style>
  <w:style w:type="paragraph" w:customStyle="1" w:styleId="CharCharCharChar">
    <w:name w:val="Char Char Char Char"/>
    <w:basedOn w:val="Normal"/>
    <w:rsid w:val="005D6B4F"/>
    <w:pPr>
      <w:spacing w:after="160" w:line="240" w:lineRule="exact"/>
      <w:jc w:val="both"/>
    </w:pPr>
    <w:rPr>
      <w:rFonts w:ascii="Verdana" w:hAnsi="Verdana"/>
      <w:sz w:val="20"/>
      <w:szCs w:val="20"/>
      <w:lang w:val="en-GB" w:eastAsia="en-US"/>
    </w:rPr>
  </w:style>
  <w:style w:type="paragraph" w:styleId="ListeParagraf">
    <w:name w:val="List Paragraph"/>
    <w:basedOn w:val="Normal"/>
    <w:uiPriority w:val="34"/>
    <w:qFormat/>
    <w:rsid w:val="0084473F"/>
    <w:pPr>
      <w:spacing w:after="200" w:line="276" w:lineRule="auto"/>
      <w:ind w:left="720"/>
      <w:contextualSpacing/>
    </w:pPr>
    <w:rPr>
      <w:rFonts w:ascii="Calibri" w:eastAsia="Calibri" w:hAnsi="Calibri"/>
      <w:sz w:val="22"/>
      <w:szCs w:val="22"/>
      <w:lang w:eastAsia="en-US"/>
    </w:rPr>
  </w:style>
  <w:style w:type="character" w:customStyle="1" w:styleId="FontStyle21">
    <w:name w:val="Font Style21"/>
    <w:rsid w:val="0084473F"/>
    <w:rPr>
      <w:rFonts w:ascii="Georgia" w:hAnsi="Georgia" w:cs="Georgia"/>
      <w:sz w:val="20"/>
      <w:szCs w:val="20"/>
    </w:rPr>
  </w:style>
  <w:style w:type="character" w:styleId="DipnotBavurusu">
    <w:name w:val="footnote reference"/>
    <w:uiPriority w:val="99"/>
    <w:semiHidden/>
    <w:rsid w:val="003C3DBB"/>
    <w:rPr>
      <w:vertAlign w:val="superscript"/>
    </w:rPr>
  </w:style>
  <w:style w:type="character" w:customStyle="1" w:styleId="Balk1Char">
    <w:name w:val="Başlık 1 Char"/>
    <w:link w:val="Balk1"/>
    <w:rsid w:val="00BD7E3A"/>
    <w:rPr>
      <w:sz w:val="24"/>
    </w:rPr>
  </w:style>
  <w:style w:type="character" w:customStyle="1" w:styleId="DipnotMetniChar">
    <w:name w:val="Dipnot Metni Char"/>
    <w:aliases w:val="çağ dipnot Metni Char"/>
    <w:basedOn w:val="VarsaylanParagrafYazTipi"/>
    <w:link w:val="DipnotMetni"/>
    <w:uiPriority w:val="99"/>
    <w:semiHidden/>
    <w:rsid w:val="005C1F28"/>
  </w:style>
  <w:style w:type="table" w:styleId="ListeTablo3-Vurgu1">
    <w:name w:val="List Table 3 Accent 1"/>
    <w:basedOn w:val="NormalTablo"/>
    <w:uiPriority w:val="48"/>
    <w:rsid w:val="005C1F28"/>
    <w:pPr>
      <w:jc w:val="both"/>
    </w:pPr>
    <w:rPr>
      <w:rFonts w:asciiTheme="minorHAnsi" w:eastAsiaTheme="minorHAnsi" w:hAnsiTheme="minorHAnsi" w:cstheme="minorBidi"/>
      <w:sz w:val="22"/>
      <w:szCs w:val="22"/>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2-Vurgu6">
    <w:name w:val="List Table 2 Accent 6"/>
    <w:basedOn w:val="NormalTablo"/>
    <w:uiPriority w:val="47"/>
    <w:rsid w:val="0057732F"/>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740">
      <w:bodyDiv w:val="1"/>
      <w:marLeft w:val="0"/>
      <w:marRight w:val="0"/>
      <w:marTop w:val="0"/>
      <w:marBottom w:val="0"/>
      <w:divBdr>
        <w:top w:val="none" w:sz="0" w:space="0" w:color="auto"/>
        <w:left w:val="none" w:sz="0" w:space="0" w:color="auto"/>
        <w:bottom w:val="none" w:sz="0" w:space="0" w:color="auto"/>
        <w:right w:val="none" w:sz="0" w:space="0" w:color="auto"/>
      </w:divBdr>
      <w:divsChild>
        <w:div w:id="188685551">
          <w:marLeft w:val="0"/>
          <w:marRight w:val="0"/>
          <w:marTop w:val="0"/>
          <w:marBottom w:val="0"/>
          <w:divBdr>
            <w:top w:val="none" w:sz="0" w:space="0" w:color="auto"/>
            <w:left w:val="none" w:sz="0" w:space="0" w:color="auto"/>
            <w:bottom w:val="none" w:sz="0" w:space="0" w:color="auto"/>
            <w:right w:val="none" w:sz="0" w:space="0" w:color="auto"/>
          </w:divBdr>
        </w:div>
      </w:divsChild>
    </w:div>
    <w:div w:id="145249001">
      <w:bodyDiv w:val="1"/>
      <w:marLeft w:val="0"/>
      <w:marRight w:val="0"/>
      <w:marTop w:val="0"/>
      <w:marBottom w:val="0"/>
      <w:divBdr>
        <w:top w:val="none" w:sz="0" w:space="0" w:color="auto"/>
        <w:left w:val="none" w:sz="0" w:space="0" w:color="auto"/>
        <w:bottom w:val="none" w:sz="0" w:space="0" w:color="auto"/>
        <w:right w:val="none" w:sz="0" w:space="0" w:color="auto"/>
      </w:divBdr>
    </w:div>
    <w:div w:id="1495610152">
      <w:bodyDiv w:val="1"/>
      <w:marLeft w:val="0"/>
      <w:marRight w:val="0"/>
      <w:marTop w:val="0"/>
      <w:marBottom w:val="0"/>
      <w:divBdr>
        <w:top w:val="none" w:sz="0" w:space="0" w:color="auto"/>
        <w:left w:val="none" w:sz="0" w:space="0" w:color="auto"/>
        <w:bottom w:val="none" w:sz="0" w:space="0" w:color="auto"/>
        <w:right w:val="none" w:sz="0" w:space="0" w:color="auto"/>
      </w:divBdr>
    </w:div>
    <w:div w:id="1670404710">
      <w:bodyDiv w:val="1"/>
      <w:marLeft w:val="0"/>
      <w:marRight w:val="0"/>
      <w:marTop w:val="0"/>
      <w:marBottom w:val="0"/>
      <w:divBdr>
        <w:top w:val="none" w:sz="0" w:space="0" w:color="auto"/>
        <w:left w:val="none" w:sz="0" w:space="0" w:color="auto"/>
        <w:bottom w:val="none" w:sz="0" w:space="0" w:color="auto"/>
        <w:right w:val="none" w:sz="0" w:space="0" w:color="auto"/>
      </w:divBdr>
      <w:divsChild>
        <w:div w:id="1257708068">
          <w:marLeft w:val="0"/>
          <w:marRight w:val="0"/>
          <w:marTop w:val="0"/>
          <w:marBottom w:val="0"/>
          <w:divBdr>
            <w:top w:val="none" w:sz="0" w:space="0" w:color="auto"/>
            <w:left w:val="none" w:sz="0" w:space="0" w:color="auto"/>
            <w:bottom w:val="none" w:sz="0" w:space="0" w:color="auto"/>
            <w:right w:val="none" w:sz="0" w:space="0" w:color="auto"/>
          </w:divBdr>
          <w:divsChild>
            <w:div w:id="11136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3949">
      <w:bodyDiv w:val="1"/>
      <w:marLeft w:val="0"/>
      <w:marRight w:val="0"/>
      <w:marTop w:val="0"/>
      <w:marBottom w:val="0"/>
      <w:divBdr>
        <w:top w:val="none" w:sz="0" w:space="0" w:color="auto"/>
        <w:left w:val="none" w:sz="0" w:space="0" w:color="auto"/>
        <w:bottom w:val="none" w:sz="0" w:space="0" w:color="auto"/>
        <w:right w:val="none" w:sz="0" w:space="0" w:color="auto"/>
      </w:divBdr>
    </w:div>
    <w:div w:id="2128886406">
      <w:bodyDiv w:val="1"/>
      <w:marLeft w:val="0"/>
      <w:marRight w:val="0"/>
      <w:marTop w:val="0"/>
      <w:marBottom w:val="0"/>
      <w:divBdr>
        <w:top w:val="none" w:sz="0" w:space="0" w:color="auto"/>
        <w:left w:val="none" w:sz="0" w:space="0" w:color="auto"/>
        <w:bottom w:val="none" w:sz="0" w:space="0" w:color="auto"/>
        <w:right w:val="none" w:sz="0" w:space="0" w:color="auto"/>
      </w:divBdr>
      <w:divsChild>
        <w:div w:id="139736455">
          <w:marLeft w:val="547"/>
          <w:marRight w:val="0"/>
          <w:marTop w:val="96"/>
          <w:marBottom w:val="0"/>
          <w:divBdr>
            <w:top w:val="none" w:sz="0" w:space="0" w:color="auto"/>
            <w:left w:val="none" w:sz="0" w:space="0" w:color="auto"/>
            <w:bottom w:val="none" w:sz="0" w:space="0" w:color="auto"/>
            <w:right w:val="none" w:sz="0" w:space="0" w:color="auto"/>
          </w:divBdr>
        </w:div>
        <w:div w:id="240213111">
          <w:marLeft w:val="547"/>
          <w:marRight w:val="0"/>
          <w:marTop w:val="96"/>
          <w:marBottom w:val="0"/>
          <w:divBdr>
            <w:top w:val="none" w:sz="0" w:space="0" w:color="auto"/>
            <w:left w:val="none" w:sz="0" w:space="0" w:color="auto"/>
            <w:bottom w:val="none" w:sz="0" w:space="0" w:color="auto"/>
            <w:right w:val="none" w:sz="0" w:space="0" w:color="auto"/>
          </w:divBdr>
        </w:div>
        <w:div w:id="1013457072">
          <w:marLeft w:val="547"/>
          <w:marRight w:val="0"/>
          <w:marTop w:val="96"/>
          <w:marBottom w:val="0"/>
          <w:divBdr>
            <w:top w:val="none" w:sz="0" w:space="0" w:color="auto"/>
            <w:left w:val="none" w:sz="0" w:space="0" w:color="auto"/>
            <w:bottom w:val="none" w:sz="0" w:space="0" w:color="auto"/>
            <w:right w:val="none" w:sz="0" w:space="0" w:color="auto"/>
          </w:divBdr>
        </w:div>
        <w:div w:id="1522938019">
          <w:marLeft w:val="547"/>
          <w:marRight w:val="0"/>
          <w:marTop w:val="96"/>
          <w:marBottom w:val="0"/>
          <w:divBdr>
            <w:top w:val="none" w:sz="0" w:space="0" w:color="auto"/>
            <w:left w:val="none" w:sz="0" w:space="0" w:color="auto"/>
            <w:bottom w:val="none" w:sz="0" w:space="0" w:color="auto"/>
            <w:right w:val="none" w:sz="0" w:space="0" w:color="auto"/>
          </w:divBdr>
        </w:div>
        <w:div w:id="1857159551">
          <w:marLeft w:val="547"/>
          <w:marRight w:val="0"/>
          <w:marTop w:val="96"/>
          <w:marBottom w:val="0"/>
          <w:divBdr>
            <w:top w:val="none" w:sz="0" w:space="0" w:color="auto"/>
            <w:left w:val="none" w:sz="0" w:space="0" w:color="auto"/>
            <w:bottom w:val="none" w:sz="0" w:space="0" w:color="auto"/>
            <w:right w:val="none" w:sz="0" w:space="0" w:color="auto"/>
          </w:divBdr>
        </w:div>
        <w:div w:id="1911695729">
          <w:marLeft w:val="547"/>
          <w:marRight w:val="0"/>
          <w:marTop w:val="96"/>
          <w:marBottom w:val="0"/>
          <w:divBdr>
            <w:top w:val="none" w:sz="0" w:space="0" w:color="auto"/>
            <w:left w:val="none" w:sz="0" w:space="0" w:color="auto"/>
            <w:bottom w:val="none" w:sz="0" w:space="0" w:color="auto"/>
            <w:right w:val="none" w:sz="0" w:space="0" w:color="auto"/>
          </w:divBdr>
        </w:div>
        <w:div w:id="2009945784">
          <w:marLeft w:val="547"/>
          <w:marRight w:val="0"/>
          <w:marTop w:val="96"/>
          <w:marBottom w:val="0"/>
          <w:divBdr>
            <w:top w:val="none" w:sz="0" w:space="0" w:color="auto"/>
            <w:left w:val="none" w:sz="0" w:space="0" w:color="auto"/>
            <w:bottom w:val="none" w:sz="0" w:space="0" w:color="auto"/>
            <w:right w:val="none" w:sz="0" w:space="0" w:color="auto"/>
          </w:divBdr>
        </w:div>
        <w:div w:id="214122101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6" b="1" i="0" u="none" strike="noStrike" kern="1200" spc="0" baseline="0">
                <a:solidFill>
                  <a:schemeClr val="tx1"/>
                </a:solidFill>
                <a:latin typeface="+mn-lt"/>
                <a:ea typeface="+mn-ea"/>
                <a:cs typeface="+mn-cs"/>
              </a:defRPr>
            </a:pPr>
            <a:r>
              <a:rPr lang="tr-TR" b="1">
                <a:solidFill>
                  <a:schemeClr val="tx1"/>
                </a:solidFill>
              </a:rPr>
              <a:t>MEB Bütçe Payları ve Milli Gelire Oranı</a:t>
            </a:r>
          </a:p>
        </c:rich>
      </c:tx>
      <c:layout>
        <c:manualLayout>
          <c:xMode val="edge"/>
          <c:yMode val="edge"/>
          <c:x val="0.25740847297933911"/>
          <c:y val="2.3809477803004686E-2"/>
        </c:manualLayout>
      </c:layout>
      <c:overlay val="0"/>
      <c:spPr>
        <a:noFill/>
        <a:ln w="25320">
          <a:noFill/>
        </a:ln>
        <a:effectLst/>
      </c:spPr>
      <c:txPr>
        <a:bodyPr rot="0" spcFirstLastPara="1" vertOverflow="ellipsis" vert="horz" wrap="square" anchor="ctr" anchorCtr="1"/>
        <a:lstStyle/>
        <a:p>
          <a:pPr>
            <a:defRPr sz="1396" b="1" i="0" u="none" strike="noStrike" kern="1200" spc="0" baseline="0">
              <a:solidFill>
                <a:schemeClr val="tx1"/>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MEB/Merkezi Bütçe</c:v>
                </c:pt>
              </c:strCache>
            </c:strRef>
          </c:tx>
          <c:spPr>
            <a:solidFill>
              <a:schemeClr val="accent6"/>
            </a:solidFill>
            <a:ln>
              <a:noFill/>
            </a:ln>
            <a:effectLst/>
          </c:spPr>
          <c:invertIfNegative val="0"/>
          <c:dLbls>
            <c:dLbl>
              <c:idx val="19"/>
              <c:layout>
                <c:manualLayout>
                  <c:x val="-1.5422184267128318E-16"/>
                  <c:y val="7.9365079365078996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0"/>
              <c:layout>
                <c:manualLayout>
                  <c:x val="1.0548523206751054E-2"/>
                  <c:y val="1.1904761904761904E-2"/>
                </c:manualLayout>
              </c:layout>
              <c:spPr>
                <a:noFill/>
                <a:ln w="25320">
                  <a:noFill/>
                </a:ln>
                <a:effectLst/>
              </c:spPr>
              <c:txPr>
                <a:bodyPr rot="0" spcFirstLastPara="1" vertOverflow="ellipsis" vert="horz" wrap="square" lIns="38100" tIns="19050" rIns="38100" bIns="19050" anchor="ctr" anchorCtr="1">
                  <a:spAutoFit/>
                </a:bodyPr>
                <a:lstStyle/>
                <a:p>
                  <a:pPr>
                    <a:defRPr sz="897" b="1" i="0" u="none" strike="noStrike" kern="1200" baseline="0">
                      <a:solidFill>
                        <a:srgbClr val="FF0000"/>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320">
                <a:noFill/>
              </a:ln>
              <a:effectLst/>
            </c:spPr>
            <c:txPr>
              <a:bodyPr rot="0" spcFirstLastPara="1" vertOverflow="ellipsis" vert="horz" wrap="square" lIns="38100" tIns="19050" rIns="38100" bIns="19050" anchor="ctr" anchorCtr="1">
                <a:spAutoFit/>
              </a:bodyPr>
              <a:lstStyle/>
              <a:p>
                <a:pPr>
                  <a:defRPr sz="897" b="1" i="0" u="none" strike="noStrike" kern="1200" baseline="0">
                    <a:solidFill>
                      <a:schemeClr val="tx1"/>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Sayfa1!$A$2:$A$22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Sayfa1!$B$2:$B$22</c:f>
              <c:numCache>
                <c:formatCode>General</c:formatCode>
                <c:ptCount val="21"/>
                <c:pt idx="0">
                  <c:v>7.6</c:v>
                </c:pt>
                <c:pt idx="1">
                  <c:v>6.91</c:v>
                </c:pt>
                <c:pt idx="2">
                  <c:v>8.2100000000000009</c:v>
                </c:pt>
                <c:pt idx="3">
                  <c:v>9.5</c:v>
                </c:pt>
                <c:pt idx="4">
                  <c:v>9.4700000000000006</c:v>
                </c:pt>
                <c:pt idx="5">
                  <c:v>10.42</c:v>
                </c:pt>
                <c:pt idx="6">
                  <c:v>10.3</c:v>
                </c:pt>
                <c:pt idx="7">
                  <c:v>10.47</c:v>
                </c:pt>
                <c:pt idx="8">
                  <c:v>9.84</c:v>
                </c:pt>
                <c:pt idx="9">
                  <c:v>10.91</c:v>
                </c:pt>
                <c:pt idx="10">
                  <c:v>11.16</c:v>
                </c:pt>
                <c:pt idx="11">
                  <c:v>11.76</c:v>
                </c:pt>
                <c:pt idx="12">
                  <c:v>12.81</c:v>
                </c:pt>
                <c:pt idx="13">
                  <c:v>13.11</c:v>
                </c:pt>
                <c:pt idx="14">
                  <c:v>13.38</c:v>
                </c:pt>
                <c:pt idx="15">
                  <c:v>13.18</c:v>
                </c:pt>
                <c:pt idx="16">
                  <c:v>12.13</c:v>
                </c:pt>
                <c:pt idx="17">
                  <c:v>11.84</c:v>
                </c:pt>
                <c:pt idx="18">
                  <c:v>11.45</c:v>
                </c:pt>
                <c:pt idx="19">
                  <c:v>10.69</c:v>
                </c:pt>
                <c:pt idx="20">
                  <c:v>10.79</c:v>
                </c:pt>
              </c:numCache>
            </c:numRef>
          </c:val>
        </c:ser>
        <c:ser>
          <c:idx val="1"/>
          <c:order val="1"/>
          <c:tx>
            <c:strRef>
              <c:f>Sayfa1!$C$1</c:f>
              <c:strCache>
                <c:ptCount val="1"/>
                <c:pt idx="0">
                  <c:v>MEB/GSYH</c:v>
                </c:pt>
              </c:strCache>
            </c:strRef>
          </c:tx>
          <c:spPr>
            <a:solidFill>
              <a:schemeClr val="accent5"/>
            </a:solidFill>
            <a:ln>
              <a:noFill/>
            </a:ln>
            <a:effectLst/>
          </c:spPr>
          <c:invertIfNegative val="0"/>
          <c:dLbls>
            <c:dLbl>
              <c:idx val="0"/>
              <c:layout>
                <c:manualLayout>
                  <c:x val="1.4721345951629864E-2"/>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0515247108307046E-2"/>
                  <c:y val="1.19047619047619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2618296529968454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2618296529968454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0515247108307006E-2"/>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1.0515247108307046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1.0515247108307046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8.4121976866456359E-3"/>
                  <c:y val="1.190476190476183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8.4121976866455596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1.0515247108307046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8.4121976866456359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8.4121976866455596E-3"/>
                  <c:y val="7.936507936507936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1.2618296529968454E-2"/>
                  <c:y val="1.190476190476183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8.4121976866456359E-3"/>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4"/>
              <c:layout>
                <c:manualLayout>
                  <c:x val="8.4121976866456359E-3"/>
                  <c:y val="7.936507936507863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5"/>
              <c:layout>
                <c:manualLayout>
                  <c:x val="1.0515247108307046E-2"/>
                  <c:y val="7.936507936507863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1.0515247108307046E-2"/>
                  <c:y val="7.9365079365078632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7"/>
              <c:layout>
                <c:manualLayout>
                  <c:x val="1.4721345951629864E-2"/>
                  <c:y val="1.587301587301587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8"/>
              <c:layout>
                <c:manualLayout>
                  <c:x val="1.2618296529968454E-2"/>
                  <c:y val="1.190476190476183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9"/>
              <c:layout>
                <c:manualLayout>
                  <c:x val="8.4121976866456359E-3"/>
                  <c:y val="1.1904761904761904E-2"/>
                </c:manualLayout>
              </c:layout>
              <c:spPr>
                <a:noFill/>
                <a:ln w="25320">
                  <a:noFill/>
                </a:ln>
                <a:effectLst/>
              </c:spPr>
              <c:txPr>
                <a:bodyPr rot="0" spcFirstLastPara="1" vertOverflow="ellipsis" vert="horz" wrap="square" lIns="38100" tIns="19050" rIns="38100" bIns="19050" anchor="ctr" anchorCtr="1">
                  <a:spAutoFit/>
                </a:bodyPr>
                <a:lstStyle/>
                <a:p>
                  <a:pPr>
                    <a:defRPr sz="897" b="0" i="0" u="none" strike="noStrike" kern="1200" baseline="0">
                      <a:solidFill>
                        <a:schemeClr val="tx1"/>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dLbl>
              <c:idx val="20"/>
              <c:layout>
                <c:manualLayout>
                  <c:x val="1.2658227848101111E-2"/>
                  <c:y val="1.1904761904761904E-2"/>
                </c:manualLayout>
              </c:layout>
              <c:spPr>
                <a:noFill/>
                <a:ln w="25320">
                  <a:noFill/>
                </a:ln>
                <a:effectLst/>
              </c:spPr>
              <c:txPr>
                <a:bodyPr rot="0" spcFirstLastPara="1" vertOverflow="ellipsis" vert="horz" wrap="square" lIns="38100" tIns="19050" rIns="38100" bIns="19050" anchor="ctr" anchorCtr="1">
                  <a:spAutoFit/>
                </a:bodyPr>
                <a:lstStyle/>
                <a:p>
                  <a:pPr>
                    <a:defRPr sz="897" b="1" i="0" u="none" strike="noStrike" kern="1200" baseline="0">
                      <a:solidFill>
                        <a:srgbClr val="FF0000"/>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extLst>
            </c:dLbl>
            <c:spPr>
              <a:noFill/>
              <a:ln w="25320">
                <a:noFill/>
              </a:ln>
              <a:effectLst/>
            </c:spPr>
            <c:txPr>
              <a:bodyPr rot="0" spcFirstLastPara="1" vertOverflow="ellipsis" vert="horz" wrap="square" lIns="38100" tIns="19050" rIns="38100" bIns="19050" anchor="ctr" anchorCtr="1">
                <a:spAutoFit/>
              </a:bodyPr>
              <a:lstStyle/>
              <a:p>
                <a:pPr>
                  <a:defRPr sz="897" b="1"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Sayfa1!$A$2:$A$22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Sayfa1!$C$2:$C$22</c:f>
              <c:numCache>
                <c:formatCode>General</c:formatCode>
                <c:ptCount val="21"/>
                <c:pt idx="0">
                  <c:v>2.13</c:v>
                </c:pt>
                <c:pt idx="1">
                  <c:v>2.2400000000000002</c:v>
                </c:pt>
                <c:pt idx="2">
                  <c:v>2.21</c:v>
                </c:pt>
                <c:pt idx="3">
                  <c:v>2.29</c:v>
                </c:pt>
                <c:pt idx="4">
                  <c:v>2.1800000000000002</c:v>
                </c:pt>
                <c:pt idx="5">
                  <c:v>2.5299999999999998</c:v>
                </c:pt>
                <c:pt idx="6">
                  <c:v>2.41</c:v>
                </c:pt>
                <c:pt idx="7">
                  <c:v>2.88</c:v>
                </c:pt>
                <c:pt idx="8">
                  <c:v>2.57</c:v>
                </c:pt>
                <c:pt idx="9">
                  <c:v>2.63</c:v>
                </c:pt>
                <c:pt idx="10">
                  <c:v>2.76</c:v>
                </c:pt>
                <c:pt idx="11">
                  <c:v>3.03</c:v>
                </c:pt>
                <c:pt idx="12">
                  <c:v>3.24</c:v>
                </c:pt>
                <c:pt idx="13">
                  <c:v>3.19</c:v>
                </c:pt>
                <c:pt idx="14">
                  <c:v>3.46</c:v>
                </c:pt>
                <c:pt idx="15">
                  <c:v>3.54</c:v>
                </c:pt>
                <c:pt idx="16">
                  <c:v>2.69</c:v>
                </c:pt>
                <c:pt idx="17">
                  <c:v>2.56</c:v>
                </c:pt>
                <c:pt idx="18">
                  <c:v>2.57</c:v>
                </c:pt>
                <c:pt idx="19">
                  <c:v>2.6</c:v>
                </c:pt>
                <c:pt idx="20">
                  <c:v>2.4</c:v>
                </c:pt>
              </c:numCache>
            </c:numRef>
          </c:val>
        </c:ser>
        <c:ser>
          <c:idx val="2"/>
          <c:order val="2"/>
          <c:tx>
            <c:strRef>
              <c:f>Sayfa1!$D$1</c:f>
              <c:strCache>
                <c:ptCount val="1"/>
                <c:pt idx="0">
                  <c:v>Sütun1</c:v>
                </c:pt>
              </c:strCache>
            </c:strRef>
          </c:tx>
          <c:spPr>
            <a:solidFill>
              <a:schemeClr val="accent4"/>
            </a:solidFill>
            <a:ln>
              <a:noFill/>
            </a:ln>
            <a:effectLst/>
          </c:spPr>
          <c:invertIfNegative val="0"/>
          <c:dLbls>
            <c:spPr>
              <a:noFill/>
              <a:ln w="25320">
                <a:noFill/>
              </a:ln>
              <a:effectLst/>
            </c:spPr>
            <c:txPr>
              <a:bodyPr rot="0" spcFirstLastPara="1" vertOverflow="ellipsis" vert="horz" wrap="square" lIns="38100" tIns="19050" rIns="38100" bIns="19050" anchor="ctr" anchorCtr="1">
                <a:spAutoFit/>
              </a:bodyPr>
              <a:lstStyle/>
              <a:p>
                <a:pPr>
                  <a:defRPr sz="897"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Sayfa1!$A$2:$A$22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Sayfa1!$D$2:$D$22</c:f>
              <c:numCache>
                <c:formatCode>General</c:formatCode>
                <c:ptCount val="21"/>
              </c:numCache>
            </c:numRef>
          </c:val>
        </c:ser>
        <c:dLbls>
          <c:showLegendKey val="0"/>
          <c:showVal val="0"/>
          <c:showCatName val="0"/>
          <c:showSerName val="0"/>
          <c:showPercent val="0"/>
          <c:showBubbleSize val="0"/>
        </c:dLbls>
        <c:gapWidth val="219"/>
        <c:overlap val="-27"/>
        <c:axId val="407606728"/>
        <c:axId val="407607512"/>
      </c:barChart>
      <c:catAx>
        <c:axId val="407606728"/>
        <c:scaling>
          <c:orientation val="minMax"/>
        </c:scaling>
        <c:delete val="0"/>
        <c:axPos val="b"/>
        <c:numFmt formatCode="General" sourceLinked="1"/>
        <c:majorTickMark val="none"/>
        <c:minorTickMark val="none"/>
        <c:tickLblPos val="nextTo"/>
        <c:spPr>
          <a:noFill/>
          <a:ln w="949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tr-TR"/>
          </a:p>
        </c:txPr>
        <c:crossAx val="407607512"/>
        <c:crosses val="autoZero"/>
        <c:auto val="1"/>
        <c:lblAlgn val="ctr"/>
        <c:lblOffset val="100"/>
        <c:noMultiLvlLbl val="0"/>
      </c:catAx>
      <c:valAx>
        <c:axId val="407607512"/>
        <c:scaling>
          <c:orientation val="minMax"/>
        </c:scaling>
        <c:delete val="0"/>
        <c:axPos val="l"/>
        <c:majorGridlines>
          <c:spPr>
            <a:ln w="949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30" cap="flat" cmpd="sng" algn="ctr">
            <a:noFill/>
            <a:prstDash val="solid"/>
            <a:round/>
          </a:ln>
          <a:effectLst/>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tr-TR"/>
          </a:p>
        </c:txPr>
        <c:crossAx val="407606728"/>
        <c:crosses val="autoZero"/>
        <c:crossBetween val="between"/>
      </c:valAx>
      <c:spPr>
        <a:noFill/>
        <a:ln w="25320">
          <a:noFill/>
        </a:ln>
        <a:effectLst/>
      </c:spPr>
    </c:plotArea>
    <c:legend>
      <c:legendPos val="b"/>
      <c:legendEntry>
        <c:idx val="2"/>
        <c:delete val="1"/>
      </c:legendEntry>
      <c:overlay val="0"/>
      <c:spPr>
        <a:noFill/>
        <a:ln w="25320">
          <a:noFill/>
        </a:ln>
        <a:effectLst/>
      </c:spPr>
      <c:txPr>
        <a:bodyPr rot="0" spcFirstLastPara="1" vertOverflow="ellipsis" vert="horz" wrap="square" anchor="ctr" anchorCtr="1"/>
        <a:lstStyle/>
        <a:p>
          <a:pPr>
            <a:defRPr sz="897" b="1"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495" cap="flat" cmpd="sng" algn="ctr">
      <a:solidFill>
        <a:schemeClr val="tx1">
          <a:lumMod val="15000"/>
          <a:lumOff val="85000"/>
        </a:schemeClr>
      </a:solidFill>
      <a:prstDash val="solid"/>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pie3DChart>
        <c:varyColors val="1"/>
        <c:ser>
          <c:idx val="0"/>
          <c:order val="0"/>
          <c:tx>
            <c:strRef>
              <c:f>Sayfa1!$B$1</c:f>
              <c:strCache>
                <c:ptCount val="1"/>
                <c:pt idx="0">
                  <c:v>Sütun1</c:v>
                </c:pt>
              </c:strCache>
            </c:strRef>
          </c:tx>
          <c:dPt>
            <c:idx val="0"/>
            <c:bubble3D val="0"/>
            <c:spPr>
              <a:solidFill>
                <a:schemeClr val="accent1"/>
              </a:solidFill>
              <a:ln w="25341">
                <a:solidFill>
                  <a:schemeClr val="lt1"/>
                </a:solidFill>
              </a:ln>
              <a:effectLst/>
              <a:sp3d contourW="25400">
                <a:contourClr>
                  <a:schemeClr val="lt1"/>
                </a:contourClr>
              </a:sp3d>
            </c:spPr>
          </c:dPt>
          <c:dPt>
            <c:idx val="1"/>
            <c:bubble3D val="0"/>
            <c:spPr>
              <a:solidFill>
                <a:schemeClr val="accent2"/>
              </a:solidFill>
              <a:ln w="25341">
                <a:solidFill>
                  <a:schemeClr val="lt1"/>
                </a:solidFill>
              </a:ln>
              <a:effectLst/>
              <a:sp3d contourW="25400">
                <a:contourClr>
                  <a:schemeClr val="lt1"/>
                </a:contourClr>
              </a:sp3d>
            </c:spPr>
          </c:dPt>
          <c:dPt>
            <c:idx val="2"/>
            <c:bubble3D val="0"/>
            <c:spPr>
              <a:solidFill>
                <a:schemeClr val="accent3"/>
              </a:solidFill>
              <a:ln w="25341">
                <a:solidFill>
                  <a:schemeClr val="lt1"/>
                </a:solidFill>
              </a:ln>
              <a:effectLst/>
              <a:sp3d contourW="25400">
                <a:contourClr>
                  <a:schemeClr val="lt1"/>
                </a:contourClr>
              </a:sp3d>
            </c:spPr>
          </c:dPt>
          <c:dPt>
            <c:idx val="3"/>
            <c:bubble3D val="0"/>
            <c:spPr>
              <a:solidFill>
                <a:schemeClr val="accent4"/>
              </a:solidFill>
              <a:ln w="25341">
                <a:solidFill>
                  <a:schemeClr val="lt1"/>
                </a:solidFill>
              </a:ln>
              <a:effectLst/>
              <a:sp3d contourW="25400">
                <a:contourClr>
                  <a:schemeClr val="lt1"/>
                </a:contourClr>
              </a:sp3d>
            </c:spPr>
          </c:dPt>
          <c:dPt>
            <c:idx val="4"/>
            <c:bubble3D val="0"/>
            <c:spPr>
              <a:solidFill>
                <a:schemeClr val="accent5"/>
              </a:solidFill>
              <a:ln w="25341">
                <a:solidFill>
                  <a:schemeClr val="lt1"/>
                </a:solidFill>
              </a:ln>
              <a:effectLst/>
              <a:sp3d contourW="25400">
                <a:contourClr>
                  <a:schemeClr val="lt1"/>
                </a:contourClr>
              </a:sp3d>
            </c:spPr>
          </c:dPt>
          <c:dLbls>
            <c:dLbl>
              <c:idx val="0"/>
              <c:layout>
                <c:manualLayout>
                  <c:x val="-0.20438010352872557"/>
                  <c:y val="-0.22957130358705161"/>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5.3435114503816793E-2"/>
                  <c:y val="3.9440928779608071E-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9.8372703412073492E-2"/>
                  <c:y val="4.9507753248635329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2.3632766324056823E-2"/>
                  <c:y val="-6.7900101444374672E-3"/>
                </c:manualLayout>
              </c:layout>
              <c:showLegendKey val="0"/>
              <c:showVal val="0"/>
              <c:showCatName val="1"/>
              <c:showSerName val="0"/>
              <c:showPercent val="1"/>
              <c:showBubbleSize val="0"/>
              <c:extLst>
                <c:ext xmlns:c15="http://schemas.microsoft.com/office/drawing/2012/chart" uri="{CE6537A1-D6FC-4f65-9D91-7224C49458BB}"/>
              </c:extLst>
            </c:dLbl>
            <c:dLbl>
              <c:idx val="4"/>
              <c:layout>
                <c:manualLayout>
                  <c:x val="0.12973192282262422"/>
                  <c:y val="9.7776596943786931E-2"/>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98" b="1" i="0" u="none" strike="noStrike" kern="1200" baseline="0">
                    <a:solidFill>
                      <a:schemeClr val="tx1"/>
                    </a:solidFill>
                    <a:latin typeface="+mn-lt"/>
                    <a:ea typeface="+mn-ea"/>
                    <a:cs typeface="+mn-cs"/>
                  </a:defRPr>
                </a:pPr>
                <a:endParaRPr lang="tr-TR"/>
              </a:p>
            </c:txPr>
            <c:showLegendKey val="0"/>
            <c:showVal val="0"/>
            <c:showCatName val="1"/>
            <c:showSerName val="0"/>
            <c:showPercent val="1"/>
            <c:showBubbleSize val="0"/>
            <c:showLeaderLines val="0"/>
            <c:extLst>
              <c:ext xmlns:c15="http://schemas.microsoft.com/office/drawing/2012/chart" uri="{CE6537A1-D6FC-4f65-9D91-7224C49458BB}"/>
            </c:extLst>
          </c:dLbls>
          <c:cat>
            <c:strRef>
              <c:f>Sayfa1!$A$2:$A$6</c:f>
              <c:strCache>
                <c:ptCount val="5"/>
                <c:pt idx="0">
                  <c:v>Personel Giderleri</c:v>
                </c:pt>
                <c:pt idx="1">
                  <c:v>Sosyal Güvenlik Devlet Primi</c:v>
                </c:pt>
                <c:pt idx="2">
                  <c:v>Mal ve Hizmet Alım Giderleri</c:v>
                </c:pt>
                <c:pt idx="3">
                  <c:v>Cari Transferler</c:v>
                </c:pt>
                <c:pt idx="4">
                  <c:v>Sermaye Giderleri</c:v>
                </c:pt>
              </c:strCache>
            </c:strRef>
          </c:cat>
          <c:val>
            <c:numRef>
              <c:f>Sayfa1!$B$2:$B$6</c:f>
              <c:numCache>
                <c:formatCode>General</c:formatCode>
                <c:ptCount val="5"/>
                <c:pt idx="0">
                  <c:v>70</c:v>
                </c:pt>
                <c:pt idx="1">
                  <c:v>11</c:v>
                </c:pt>
                <c:pt idx="2">
                  <c:v>8</c:v>
                </c:pt>
                <c:pt idx="3">
                  <c:v>3</c:v>
                </c:pt>
                <c:pt idx="4">
                  <c:v>8</c:v>
                </c:pt>
              </c:numCache>
            </c:numRef>
          </c:val>
        </c:ser>
        <c:dLbls>
          <c:showLegendKey val="0"/>
          <c:showVal val="0"/>
          <c:showCatName val="0"/>
          <c:showSerName val="0"/>
          <c:showPercent val="0"/>
          <c:showBubbleSize val="0"/>
          <c:showLeaderLines val="0"/>
        </c:dLbls>
      </c:pie3DChart>
      <c:spPr>
        <a:noFill/>
        <a:ln w="25341">
          <a:noFill/>
        </a:ln>
      </c:spPr>
    </c:plotArea>
    <c:plotVisOnly val="1"/>
    <c:dispBlanksAs val="gap"/>
    <c:showDLblsOverMax val="0"/>
  </c:chart>
  <c:spPr>
    <a:solidFill>
      <a:schemeClr val="bg1"/>
    </a:solidFill>
    <a:ln>
      <a:noFill/>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tr-TR" sz="1400">
                <a:solidFill>
                  <a:schemeClr val="tx1"/>
                </a:solidFill>
              </a:rPr>
              <a:t>MEB Bütçesinden Eğitim Yatırımlarına Ayrılan Pay</a:t>
            </a:r>
          </a:p>
        </c:rich>
      </c:tx>
      <c:layout>
        <c:manualLayout>
          <c:xMode val="edge"/>
          <c:yMode val="edge"/>
          <c:x val="0.19549089065578293"/>
          <c:y val="2.3059861657917759E-2"/>
        </c:manualLayout>
      </c:layout>
      <c:overlay val="0"/>
      <c:spPr>
        <a:noFill/>
        <a:ln w="25338">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tr-TR"/>
        </a:p>
      </c:txPr>
    </c:title>
    <c:autoTitleDeleted val="0"/>
    <c:plotArea>
      <c:layout/>
      <c:lineChart>
        <c:grouping val="standard"/>
        <c:varyColors val="0"/>
        <c:ser>
          <c:idx val="0"/>
          <c:order val="0"/>
          <c:tx>
            <c:strRef>
              <c:f>Sayfa1!$B$1</c:f>
              <c:strCache>
                <c:ptCount val="1"/>
                <c:pt idx="0">
                  <c:v>Seri 1</c:v>
                </c:pt>
              </c:strCache>
            </c:strRef>
          </c:tx>
          <c:spPr>
            <a:ln w="19050" cap="rnd" cmpd="sng" algn="ctr">
              <a:solidFill>
                <a:schemeClr val="accent6"/>
              </a:solidFill>
              <a:prstDash val="solid"/>
              <a:round/>
            </a:ln>
            <a:effectLst>
              <a:outerShdw blurRad="50800" dist="38100" dir="5400000" rotWithShape="0">
                <a:srgbClr val="000000">
                  <a:alpha val="35000"/>
                </a:srgbClr>
              </a:outerShdw>
            </a:effectLst>
          </c:spPr>
          <c:marker>
            <c:symbol val="none"/>
          </c:marker>
          <c:dLbls>
            <c:dLbl>
              <c:idx val="0"/>
              <c:layout>
                <c:manualLayout>
                  <c:x val="-4.2889576883384933E-2"/>
                  <c:y val="-3.81257898318265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132500393286803E-2"/>
                  <c:y val="-3.736164901211452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1325003932868016E-2"/>
                  <c:y val="-3.736164901211444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3.1466918370219497E-2"/>
                  <c:y val="-4.339856540733719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7634152197852239E-2"/>
                  <c:y val="-3.736164901211452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3.567301721354231E-2"/>
                  <c:y val="-4.339856540733711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3"/>
              <c:layout>
                <c:manualLayout>
                  <c:x val="-3.5673017213542393E-2"/>
                  <c:y val="-3.90554600870330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4"/>
              <c:layout>
                <c:manualLayout>
                  <c:x val="-3.567301721354231E-2"/>
                  <c:y val="-3.90554600870330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5"/>
              <c:layout>
                <c:manualLayout>
                  <c:x val="-3.08780645321543E-2"/>
                  <c:y val="-4.339856540733711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6"/>
              <c:layout>
                <c:manualLayout>
                  <c:x val="-3.567301721354231E-2"/>
                  <c:y val="-3.90554600870330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7"/>
              <c:layout>
                <c:manualLayout>
                  <c:x val="-2.3852720302706642E-2"/>
                  <c:y val="-4.170475433241870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8"/>
              <c:layout>
                <c:manualLayout>
                  <c:x val="-3.6629574726142269E-2"/>
                  <c:y val="4.081125601487298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9"/>
              <c:layout>
                <c:manualLayout>
                  <c:x val="-2.5109090465858949E-2"/>
                  <c:y val="-3.25406293910230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0"/>
              <c:layout>
                <c:manualLayout>
                  <c:x val="-1.7758247822934113E-3"/>
                  <c:y val="-1.0763888888888969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4.4753383516546986E-2"/>
                      <c:h val="6.0590277777777778E-2"/>
                    </c:manualLayout>
                  </c15:layout>
                </c:ext>
              </c:extLst>
            </c:dLbl>
            <c:spPr>
              <a:noFill/>
              <a:ln w="25338">
                <a:noFill/>
              </a:ln>
              <a:effectLst/>
            </c:spPr>
            <c:txPr>
              <a:bodyPr rot="0" spcFirstLastPara="1" vertOverflow="ellipsis" vert="horz" wrap="square" lIns="38100" tIns="19050" rIns="38100" bIns="19050" anchor="ctr" anchorCtr="1">
                <a:spAutoFit/>
              </a:bodyPr>
              <a:lstStyle/>
              <a:p>
                <a:pPr>
                  <a:defRPr sz="898" b="1" i="0" u="none" strike="noStrike" kern="1200" baseline="0">
                    <a:solidFill>
                      <a:schemeClr val="tx1"/>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Sayfa1!$A$2:$A$22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Sayfa1!$B$2:$B$22</c:f>
              <c:numCache>
                <c:formatCode>General</c:formatCode>
                <c:ptCount val="21"/>
                <c:pt idx="0">
                  <c:v>17.18</c:v>
                </c:pt>
                <c:pt idx="1">
                  <c:v>14.53</c:v>
                </c:pt>
                <c:pt idx="2">
                  <c:v>9.68</c:v>
                </c:pt>
                <c:pt idx="3">
                  <c:v>8.27</c:v>
                </c:pt>
                <c:pt idx="4">
                  <c:v>7.49</c:v>
                </c:pt>
                <c:pt idx="5">
                  <c:v>6.98</c:v>
                </c:pt>
                <c:pt idx="6">
                  <c:v>5.66</c:v>
                </c:pt>
                <c:pt idx="7">
                  <c:v>4.57</c:v>
                </c:pt>
                <c:pt idx="8">
                  <c:v>6.32</c:v>
                </c:pt>
                <c:pt idx="9">
                  <c:v>5.85</c:v>
                </c:pt>
                <c:pt idx="10">
                  <c:v>6.64</c:v>
                </c:pt>
                <c:pt idx="11">
                  <c:v>8.32</c:v>
                </c:pt>
                <c:pt idx="12">
                  <c:v>9.32</c:v>
                </c:pt>
                <c:pt idx="13">
                  <c:v>8.86</c:v>
                </c:pt>
                <c:pt idx="14">
                  <c:v>8.23</c:v>
                </c:pt>
                <c:pt idx="15">
                  <c:v>8.5</c:v>
                </c:pt>
                <c:pt idx="16">
                  <c:v>8.36</c:v>
                </c:pt>
                <c:pt idx="17">
                  <c:v>4.88</c:v>
                </c:pt>
                <c:pt idx="18">
                  <c:v>4.6500000000000004</c:v>
                </c:pt>
                <c:pt idx="19">
                  <c:v>7.69</c:v>
                </c:pt>
                <c:pt idx="20">
                  <c:v>8.06</c:v>
                </c:pt>
              </c:numCache>
            </c:numRef>
          </c:val>
          <c:smooth val="0"/>
        </c:ser>
        <c:ser>
          <c:idx val="1"/>
          <c:order val="1"/>
          <c:tx>
            <c:strRef>
              <c:f>Sayfa1!$C$1</c:f>
              <c:strCache>
                <c:ptCount val="1"/>
                <c:pt idx="0">
                  <c:v>Sütun1</c:v>
                </c:pt>
              </c:strCache>
            </c:strRef>
          </c:tx>
          <c:spPr>
            <a:ln w="19050" cap="rnd" cmpd="sng" algn="ctr">
              <a:solidFill>
                <a:schemeClr val="accent5"/>
              </a:solidFill>
              <a:prstDash val="solid"/>
              <a:round/>
            </a:ln>
            <a:effectLst>
              <a:outerShdw blurRad="50800" dist="38100" dir="5400000" rotWithShape="0">
                <a:srgbClr val="000000">
                  <a:alpha val="35000"/>
                </a:srgbClr>
              </a:outerShdw>
            </a:effectLst>
          </c:spPr>
          <c:marker>
            <c:symbol val="none"/>
          </c:marker>
          <c:dLbls>
            <c:spPr>
              <a:noFill/>
              <a:ln w="25338">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2"/>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Sayfa1!$A$2:$A$22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Sayfa1!$C$2:$C$22</c:f>
              <c:numCache>
                <c:formatCode>General</c:formatCode>
                <c:ptCount val="21"/>
              </c:numCache>
            </c:numRef>
          </c:val>
          <c:smooth val="0"/>
        </c:ser>
        <c:ser>
          <c:idx val="2"/>
          <c:order val="2"/>
          <c:tx>
            <c:strRef>
              <c:f>Sayfa1!$D$1</c:f>
              <c:strCache>
                <c:ptCount val="1"/>
                <c:pt idx="0">
                  <c:v>Sütun2</c:v>
                </c:pt>
              </c:strCache>
            </c:strRef>
          </c:tx>
          <c:spPr>
            <a:ln w="19050" cap="rnd" cmpd="sng" algn="ctr">
              <a:solidFill>
                <a:schemeClr val="accent4"/>
              </a:solidFill>
              <a:prstDash val="solid"/>
              <a:round/>
            </a:ln>
            <a:effectLst>
              <a:outerShdw blurRad="50800" dist="38100" dir="5400000" rotWithShape="0">
                <a:srgbClr val="000000">
                  <a:alpha val="35000"/>
                </a:srgbClr>
              </a:outerShdw>
            </a:effectLst>
          </c:spPr>
          <c:marker>
            <c:symbol val="none"/>
          </c:marker>
          <c:dLbls>
            <c:spPr>
              <a:noFill/>
              <a:ln w="25338">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2"/>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Sayfa1!$A$2:$A$22</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Sayfa1!$D$2:$D$22</c:f>
              <c:numCache>
                <c:formatCode>General</c:formatCode>
                <c:ptCount val="21"/>
              </c:numCache>
            </c:numRef>
          </c:val>
          <c:smooth val="0"/>
        </c:ser>
        <c:dLbls>
          <c:showLegendKey val="0"/>
          <c:showVal val="0"/>
          <c:showCatName val="0"/>
          <c:showSerName val="0"/>
          <c:showPercent val="0"/>
          <c:showBubbleSize val="0"/>
        </c:dLbls>
        <c:smooth val="0"/>
        <c:axId val="407612216"/>
        <c:axId val="407607904"/>
      </c:lineChart>
      <c:catAx>
        <c:axId val="407612216"/>
        <c:scaling>
          <c:orientation val="minMax"/>
        </c:scaling>
        <c:delete val="0"/>
        <c:axPos val="b"/>
        <c:numFmt formatCode="General" sourceLinked="1"/>
        <c:majorTickMark val="out"/>
        <c:minorTickMark val="none"/>
        <c:tickLblPos val="nextTo"/>
        <c:spPr>
          <a:noFill/>
          <a:ln w="9502"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898" b="0" i="0" u="none" strike="noStrike" kern="1200" baseline="0">
                <a:solidFill>
                  <a:schemeClr val="tx1"/>
                </a:solidFill>
                <a:latin typeface="+mn-lt"/>
                <a:ea typeface="+mn-ea"/>
                <a:cs typeface="+mn-cs"/>
              </a:defRPr>
            </a:pPr>
            <a:endParaRPr lang="tr-TR"/>
          </a:p>
        </c:txPr>
        <c:crossAx val="407607904"/>
        <c:crosses val="autoZero"/>
        <c:auto val="1"/>
        <c:lblAlgn val="ctr"/>
        <c:lblOffset val="100"/>
        <c:noMultiLvlLbl val="0"/>
      </c:catAx>
      <c:valAx>
        <c:axId val="407607904"/>
        <c:scaling>
          <c:orientation val="minMax"/>
        </c:scaling>
        <c:delete val="0"/>
        <c:axPos val="l"/>
        <c:majorGridlines>
          <c:spPr>
            <a:ln w="9502"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35" cap="flat" cmpd="sng" algn="ctr">
            <a:noFill/>
            <a:prstDash val="solid"/>
            <a:round/>
          </a:ln>
          <a:effectLst/>
        </c:spPr>
        <c:txPr>
          <a:bodyPr rot="-60000000" spcFirstLastPara="1" vertOverflow="ellipsis" vert="horz" wrap="square" anchor="ctr" anchorCtr="1"/>
          <a:lstStyle/>
          <a:p>
            <a:pPr>
              <a:defRPr sz="898" b="0" i="0" u="none" strike="noStrike" kern="1200" baseline="0">
                <a:solidFill>
                  <a:schemeClr val="tx2"/>
                </a:solidFill>
                <a:latin typeface="+mn-lt"/>
                <a:ea typeface="+mn-ea"/>
                <a:cs typeface="+mn-cs"/>
              </a:defRPr>
            </a:pPr>
            <a:endParaRPr lang="tr-TR"/>
          </a:p>
        </c:txPr>
        <c:crossAx val="407612216"/>
        <c:crosses val="autoZero"/>
        <c:crossBetween val="between"/>
      </c:valAx>
      <c:spPr>
        <a:noFill/>
        <a:ln w="25338">
          <a:noFill/>
        </a:ln>
        <a:effectLst/>
      </c:spPr>
    </c:plotArea>
    <c:plotVisOnly val="1"/>
    <c:dispBlanksAs val="gap"/>
    <c:showDLblsOverMax val="0"/>
  </c:chart>
  <c:spPr>
    <a:solidFill>
      <a:schemeClr val="bg1"/>
    </a:solidFill>
    <a:ln w="9502" cap="flat" cmpd="sng" algn="ctr">
      <a:solidFill>
        <a:schemeClr val="tx2">
          <a:lumMod val="15000"/>
          <a:lumOff val="85000"/>
        </a:schemeClr>
      </a:solidFill>
      <a:prstDash val="solid"/>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4">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6AA2C-835A-4164-A25F-6A5066F5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1342</Words>
  <Characters>7651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lpstr>
    </vt:vector>
  </TitlesOfParts>
  <Company>eğitimsen</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erkan</dc:creator>
  <cp:keywords/>
  <cp:lastModifiedBy>Windows Kullanıcısı</cp:lastModifiedBy>
  <cp:revision>37</cp:revision>
  <cp:lastPrinted>2018-10-19T08:27:00Z</cp:lastPrinted>
  <dcterms:created xsi:type="dcterms:W3CDTF">2021-10-19T11:22:00Z</dcterms:created>
  <dcterms:modified xsi:type="dcterms:W3CDTF">2021-10-19T12:38:00Z</dcterms:modified>
</cp:coreProperties>
</file>