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E2C" w:rsidRDefault="006B4E2C" w:rsidP="006B4E2C">
      <w:pPr>
        <w:pStyle w:val="ListeParagraf"/>
        <w:ind w:left="0"/>
        <w:jc w:val="both"/>
        <w:rPr>
          <w:sz w:val="28"/>
          <w:szCs w:val="28"/>
        </w:rPr>
      </w:pPr>
      <w:r w:rsidRPr="009E0EF2">
        <w:rPr>
          <w:noProof/>
          <w:color w:val="002060"/>
          <w:sz w:val="20"/>
        </w:rPr>
        <mc:AlternateContent>
          <mc:Choice Requires="wps">
            <w:drawing>
              <wp:anchor distT="0" distB="0" distL="114300" distR="114300" simplePos="0" relativeHeight="251659264" behindDoc="1" locked="0" layoutInCell="1" allowOverlap="1" wp14:anchorId="7AE86F30" wp14:editId="41FE89CF">
                <wp:simplePos x="0" y="0"/>
                <wp:positionH relativeFrom="margin">
                  <wp:posOffset>3810</wp:posOffset>
                </wp:positionH>
                <wp:positionV relativeFrom="paragraph">
                  <wp:posOffset>-53340</wp:posOffset>
                </wp:positionV>
                <wp:extent cx="6210300" cy="9315450"/>
                <wp:effectExtent l="19050" t="19050" r="38100" b="3810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9315450"/>
                        </a:xfrm>
                        <a:prstGeom prst="rect">
                          <a:avLst/>
                        </a:prstGeom>
                        <a:noFill/>
                        <a:ln w="57150">
                          <a:solidFill>
                            <a:schemeClr val="accent5">
                              <a:lumMod val="5000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E1C269A" id="Dikdörtgen 4" o:spid="_x0000_s1026" style="position:absolute;margin-left:.3pt;margin-top:-4.2pt;width:489pt;height:73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g4EmQIAACYFAAAOAAAAZHJzL2Uyb0RvYy54bWysVFGO2yAQ/a/UOyD+s7YTO5tY66yiOKkq&#10;bduVtj0AAWyjxeACibOt9lq9QC/WASfZbPtTVfUHZhgY3pt5w83toZVoz40VWhU4uYox4opqJlRd&#10;4C+fN6MZRtYRxYjUihf4iVt8u3j75qbvcj7WjZaMGwRBlM37rsCNc10eRZY2vCX2SndcgbPSpiUO&#10;TFNHzJAeorcyGsfxNOq1YZ3RlFsLq+XgxIsQv6o4dZ+qynKHZIEBmwujCePWj9HihuS1IV0j6BEG&#10;+QcULREKLj2HKokjaGfEH6FaQY22unJXVLeRripBeeAAbJL4NzYPDel44ALJsd05Tfb/haUf9/cG&#10;CVbgFCNFWihRKR7Zzx/G1Vyh1Ceo72wO+x66e+Mp2u5O00eLlF41RNV8aYzuG04YwEr8/ujVAW9Y&#10;OIq2/QfNID7ZOR1ydahM6wNCFtAhlOTpXBJ+cIjC4nScxJMYKkfBN58kWZqFokUkPx3vjHXvuG6R&#10;nxTYQM1DeLK/s87DIflpi79N6Y2QMtRdKtQXOLtOIGZgpqVg3hsML0G+kgbtCYiHUMqVy8I+uWuB&#10;yrCexfAF1pCZ05Fwqb2M1goHOpeiLfDMnzgqz6dtrVhA44iQwxwQS+UxQBaAw3E26On7PJ6vZ+tZ&#10;OkrH0/UojctytNys0tF0k1xn5aRcrcrk2cNM0rwRjHHlGZ20naR/p51jlw2qPKv7FSVr6u05PZvw&#10;nfLwwjx6DSMkBlid/oFd0IuXyCC1rWZPIBejh2aFxwUmjTbfMOqhUQtsv+6I4RjJ9wokN0/S1Hd2&#10;MNLsegyGufRsLz1EUQhVYIfRMF254TXYdUbUDdyUhBIrvQSZViIIyEt4QAW4vQHNGBgcHw7f7Zd2&#10;2PXyvC1+AQAA//8DAFBLAwQUAAYACAAAACEANN3UZd4AAAAIAQAADwAAAGRycy9kb3ducmV2Lnht&#10;bEyPQUvDQBCF74L/YRnBS2k3kbbGmE0RoQdBBFu9b7JjEs3OhOy2Tf+948neZuY93nyv2Ey+V0cc&#10;Q8dkIF0koJBqdh01Bj7223kGKkRLzvZMaOCMATbl9VVhc8cnesfjLjZKQijk1kAb45BrHeoWvQ0L&#10;HpBE++LR2yjr2Gg32pOE+17fJclae9uRfGjtgM8t1j+7gzcQZim/Vi/nbxc40W/ZbLtK95/G3N5M&#10;T4+gIk7x3wx/+IIOpTBVfCAXVG9gLT4D82wJStSH+0wOldiWK5l0WejLAuUvAAAA//8DAFBLAQIt&#10;ABQABgAIAAAAIQC2gziS/gAAAOEBAAATAAAAAAAAAAAAAAAAAAAAAABbQ29udGVudF9UeXBlc10u&#10;eG1sUEsBAi0AFAAGAAgAAAAhADj9If/WAAAAlAEAAAsAAAAAAAAAAAAAAAAALwEAAF9yZWxzLy5y&#10;ZWxzUEsBAi0AFAAGAAgAAAAhALhODgSZAgAAJgUAAA4AAAAAAAAAAAAAAAAALgIAAGRycy9lMm9E&#10;b2MueG1sUEsBAi0AFAAGAAgAAAAhADTd1GXeAAAACAEAAA8AAAAAAAAAAAAAAAAA8wQAAGRycy9k&#10;b3ducmV2LnhtbFBLBQYAAAAABAAEAPMAAAD+BQAAAAA=&#10;" filled="f" strokecolor="#1f3763 [1608]" strokeweight="4.5pt">
                <w10:wrap anchorx="margin"/>
              </v:rect>
            </w:pict>
          </mc:Fallback>
        </mc:AlternateContent>
      </w:r>
    </w:p>
    <w:p w:rsidR="006B4E2C" w:rsidRDefault="006B4E2C" w:rsidP="006B4E2C">
      <w:pPr>
        <w:pStyle w:val="ListeParagraf"/>
        <w:ind w:left="0"/>
        <w:jc w:val="both"/>
        <w:rPr>
          <w:sz w:val="28"/>
          <w:szCs w:val="28"/>
        </w:rPr>
      </w:pPr>
    </w:p>
    <w:p w:rsidR="006B4E2C" w:rsidRPr="00C73531" w:rsidRDefault="006B4E2C" w:rsidP="006B4E2C">
      <w:pPr>
        <w:jc w:val="center"/>
        <w:rPr>
          <w:rFonts w:ascii="Calibri" w:hAnsi="Calibri"/>
          <w:b/>
          <w:sz w:val="24"/>
          <w:szCs w:val="24"/>
        </w:rPr>
      </w:pPr>
      <w:r>
        <w:rPr>
          <w:sz w:val="28"/>
          <w:szCs w:val="28"/>
        </w:rPr>
        <w:t xml:space="preserve">   </w:t>
      </w:r>
      <w:r w:rsidRPr="009E0EF2">
        <w:rPr>
          <w:b/>
          <w:color w:val="1F3864" w:themeColor="accent5" w:themeShade="80"/>
          <w:sz w:val="96"/>
          <w:szCs w:val="96"/>
        </w:rPr>
        <w:t>EĞİTİM SEN</w:t>
      </w: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Pr="00E25FCD" w:rsidRDefault="006B4E2C" w:rsidP="006B4E2C">
      <w:pPr>
        <w:jc w:val="center"/>
        <w:rPr>
          <w:rFonts w:ascii="Calibri" w:hAnsi="Calibri"/>
          <w:b/>
          <w:color w:val="FF0000"/>
          <w:sz w:val="24"/>
          <w:szCs w:val="24"/>
        </w:rPr>
      </w:pPr>
    </w:p>
    <w:p w:rsidR="006B4E2C" w:rsidRPr="004B31EE" w:rsidRDefault="006B4E2C" w:rsidP="006B4E2C">
      <w:pPr>
        <w:jc w:val="center"/>
        <w:rPr>
          <w:rFonts w:ascii="Calibri" w:hAnsi="Calibri"/>
          <w:b/>
          <w:color w:val="FF0000"/>
          <w:sz w:val="48"/>
          <w:szCs w:val="48"/>
        </w:rPr>
      </w:pPr>
      <w:r w:rsidRPr="004B31EE">
        <w:rPr>
          <w:rFonts w:ascii="Calibri" w:hAnsi="Calibri"/>
          <w:b/>
          <w:color w:val="FF0000"/>
          <w:sz w:val="48"/>
          <w:szCs w:val="48"/>
        </w:rPr>
        <w:t>20</w:t>
      </w:r>
      <w:r>
        <w:rPr>
          <w:rFonts w:ascii="Calibri" w:hAnsi="Calibri"/>
          <w:b/>
          <w:color w:val="FF0000"/>
          <w:sz w:val="48"/>
          <w:szCs w:val="48"/>
        </w:rPr>
        <w:t>20</w:t>
      </w:r>
      <w:r w:rsidRPr="004B31EE">
        <w:rPr>
          <w:rFonts w:ascii="Calibri" w:hAnsi="Calibri"/>
          <w:b/>
          <w:color w:val="FF0000"/>
          <w:sz w:val="48"/>
          <w:szCs w:val="48"/>
        </w:rPr>
        <w:t>-20</w:t>
      </w:r>
      <w:r>
        <w:rPr>
          <w:rFonts w:ascii="Calibri" w:hAnsi="Calibri"/>
          <w:b/>
          <w:color w:val="FF0000"/>
          <w:sz w:val="48"/>
          <w:szCs w:val="48"/>
        </w:rPr>
        <w:t>21</w:t>
      </w:r>
      <w:r w:rsidR="009F2E35">
        <w:rPr>
          <w:rFonts w:ascii="Calibri" w:hAnsi="Calibri"/>
          <w:b/>
          <w:color w:val="FF0000"/>
          <w:sz w:val="48"/>
          <w:szCs w:val="48"/>
        </w:rPr>
        <w:t xml:space="preserve"> EĞİTİM-ÖĞRETİM YILI</w:t>
      </w:r>
      <w:r w:rsidR="00804DA2">
        <w:rPr>
          <w:rFonts w:ascii="Calibri" w:hAnsi="Calibri"/>
          <w:b/>
          <w:color w:val="FF0000"/>
          <w:sz w:val="48"/>
          <w:szCs w:val="48"/>
        </w:rPr>
        <w:t>NDA</w:t>
      </w:r>
    </w:p>
    <w:p w:rsidR="006B4E2C" w:rsidRPr="00804DA2" w:rsidRDefault="00804DA2" w:rsidP="006B4E2C">
      <w:pPr>
        <w:jc w:val="center"/>
        <w:rPr>
          <w:rFonts w:ascii="Calibri" w:hAnsi="Calibri"/>
          <w:b/>
          <w:color w:val="FF0000"/>
          <w:sz w:val="88"/>
          <w:szCs w:val="88"/>
        </w:rPr>
      </w:pPr>
      <w:r w:rsidRPr="00804DA2">
        <w:rPr>
          <w:rFonts w:ascii="Calibri" w:hAnsi="Calibri"/>
          <w:b/>
          <w:color w:val="FF0000"/>
          <w:sz w:val="88"/>
          <w:szCs w:val="88"/>
        </w:rPr>
        <w:t>EĞİTİMİN DURUMU</w:t>
      </w: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D95744" w:rsidP="006B4E2C">
      <w:pPr>
        <w:jc w:val="center"/>
        <w:rPr>
          <w:rFonts w:ascii="Calibri" w:hAnsi="Calibri"/>
          <w:b/>
          <w:sz w:val="24"/>
          <w:szCs w:val="24"/>
        </w:rPr>
      </w:pPr>
      <w:r w:rsidRPr="00F11F41">
        <w:rPr>
          <w:rFonts w:ascii="Arial" w:hAnsi="Arial" w:cs="Arial"/>
          <w:b/>
          <w:noProof/>
          <w:sz w:val="32"/>
          <w:szCs w:val="32"/>
          <w:lang w:eastAsia="tr-TR"/>
        </w:rPr>
        <w:drawing>
          <wp:inline distT="0" distB="0" distL="0" distR="0" wp14:anchorId="0A1CA1BA" wp14:editId="07750EA0">
            <wp:extent cx="1384935" cy="1384935"/>
            <wp:effectExtent l="0" t="0" r="5715" b="5715"/>
            <wp:docPr id="5" name="Resim 5" descr="6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2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4935" cy="1384935"/>
                    </a:xfrm>
                    <a:prstGeom prst="rect">
                      <a:avLst/>
                    </a:prstGeom>
                    <a:noFill/>
                    <a:ln>
                      <a:noFill/>
                    </a:ln>
                  </pic:spPr>
                </pic:pic>
              </a:graphicData>
            </a:graphic>
          </wp:inline>
        </w:drawing>
      </w: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Pr="009E0EF2" w:rsidRDefault="006B4E2C" w:rsidP="006B4E2C">
      <w:pPr>
        <w:jc w:val="center"/>
        <w:rPr>
          <w:rFonts w:ascii="Arial" w:hAnsi="Arial" w:cs="Arial"/>
          <w:b/>
          <w:color w:val="1F3864" w:themeColor="accent5" w:themeShade="80"/>
          <w:sz w:val="36"/>
          <w:szCs w:val="36"/>
        </w:rPr>
      </w:pPr>
      <w:r w:rsidRPr="009E0EF2">
        <w:rPr>
          <w:rFonts w:ascii="Arial" w:hAnsi="Arial" w:cs="Arial"/>
          <w:b/>
          <w:color w:val="1F3864" w:themeColor="accent5" w:themeShade="80"/>
          <w:sz w:val="36"/>
          <w:szCs w:val="36"/>
        </w:rPr>
        <w:t>EĞİTİM VE BİLİM EMEKÇİLERİ SENDİKASI</w:t>
      </w: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Default="006B4E2C" w:rsidP="006B4E2C">
      <w:pPr>
        <w:jc w:val="center"/>
        <w:rPr>
          <w:rFonts w:ascii="Calibri" w:hAnsi="Calibri"/>
          <w:b/>
          <w:sz w:val="24"/>
          <w:szCs w:val="24"/>
        </w:rPr>
      </w:pPr>
    </w:p>
    <w:p w:rsidR="006B4E2C" w:rsidRPr="00B9556E" w:rsidRDefault="00804DA2" w:rsidP="006B4E2C">
      <w:pPr>
        <w:jc w:val="center"/>
        <w:rPr>
          <w:rFonts w:ascii="Calibri" w:hAnsi="Calibri"/>
          <w:b/>
          <w:color w:val="1F3864" w:themeColor="accent5" w:themeShade="80"/>
          <w:sz w:val="28"/>
          <w:szCs w:val="24"/>
        </w:rPr>
      </w:pPr>
      <w:r>
        <w:rPr>
          <w:rFonts w:ascii="Calibri" w:hAnsi="Calibri"/>
          <w:b/>
          <w:color w:val="1F3864" w:themeColor="accent5" w:themeShade="80"/>
          <w:sz w:val="28"/>
          <w:szCs w:val="24"/>
        </w:rPr>
        <w:t>17</w:t>
      </w:r>
      <w:r w:rsidR="006B4E2C" w:rsidRPr="00B9556E">
        <w:rPr>
          <w:rFonts w:ascii="Calibri" w:hAnsi="Calibri"/>
          <w:b/>
          <w:color w:val="1F3864" w:themeColor="accent5" w:themeShade="80"/>
          <w:sz w:val="28"/>
          <w:szCs w:val="24"/>
        </w:rPr>
        <w:t xml:space="preserve"> </w:t>
      </w:r>
      <w:r>
        <w:rPr>
          <w:rFonts w:ascii="Calibri" w:hAnsi="Calibri"/>
          <w:b/>
          <w:color w:val="1F3864" w:themeColor="accent5" w:themeShade="80"/>
          <w:sz w:val="28"/>
          <w:szCs w:val="24"/>
        </w:rPr>
        <w:t xml:space="preserve">Haziran </w:t>
      </w:r>
      <w:r w:rsidR="006B4E2C" w:rsidRPr="00B9556E">
        <w:rPr>
          <w:rFonts w:ascii="Calibri" w:hAnsi="Calibri"/>
          <w:b/>
          <w:color w:val="1F3864" w:themeColor="accent5" w:themeShade="80"/>
          <w:sz w:val="28"/>
          <w:szCs w:val="24"/>
        </w:rPr>
        <w:t>20</w:t>
      </w:r>
      <w:r w:rsidR="006B4E2C">
        <w:rPr>
          <w:rFonts w:ascii="Calibri" w:hAnsi="Calibri"/>
          <w:b/>
          <w:color w:val="1F3864" w:themeColor="accent5" w:themeShade="80"/>
          <w:sz w:val="28"/>
          <w:szCs w:val="24"/>
        </w:rPr>
        <w:t>2</w:t>
      </w:r>
      <w:r w:rsidR="006D0F7D">
        <w:rPr>
          <w:rFonts w:ascii="Calibri" w:hAnsi="Calibri"/>
          <w:b/>
          <w:color w:val="1F3864" w:themeColor="accent5" w:themeShade="80"/>
          <w:sz w:val="28"/>
          <w:szCs w:val="24"/>
        </w:rPr>
        <w:t>1</w:t>
      </w:r>
    </w:p>
    <w:p w:rsidR="006B4E2C" w:rsidRDefault="006B4E2C" w:rsidP="006B4E2C">
      <w:pPr>
        <w:jc w:val="center"/>
        <w:rPr>
          <w:rFonts w:ascii="Calibri" w:hAnsi="Calibri"/>
          <w:b/>
          <w:sz w:val="24"/>
          <w:szCs w:val="24"/>
        </w:rPr>
      </w:pPr>
    </w:p>
    <w:p w:rsidR="00D95744" w:rsidRDefault="00D95744" w:rsidP="006B4E2C">
      <w:pPr>
        <w:jc w:val="center"/>
        <w:rPr>
          <w:rFonts w:ascii="Calibri" w:hAnsi="Calibri"/>
          <w:b/>
          <w:sz w:val="24"/>
          <w:szCs w:val="24"/>
        </w:rPr>
      </w:pPr>
    </w:p>
    <w:p w:rsidR="006B4E2C" w:rsidRPr="00D95744" w:rsidRDefault="006B4E2C" w:rsidP="006B4E2C">
      <w:pPr>
        <w:ind w:firstLine="426"/>
        <w:rPr>
          <w:rFonts w:ascii="Calibri" w:hAnsi="Calibri"/>
          <w:b/>
          <w:color w:val="FF0000"/>
          <w:sz w:val="32"/>
          <w:szCs w:val="28"/>
        </w:rPr>
      </w:pPr>
      <w:r w:rsidRPr="00D95744">
        <w:rPr>
          <w:rFonts w:ascii="Calibri" w:hAnsi="Calibri"/>
          <w:b/>
          <w:color w:val="FF0000"/>
          <w:sz w:val="32"/>
          <w:szCs w:val="28"/>
        </w:rPr>
        <w:lastRenderedPageBreak/>
        <w:t xml:space="preserve">2020/’21 EĞİTİM-ÖĞRETİM YILI </w:t>
      </w:r>
      <w:r w:rsidR="00804DA2" w:rsidRPr="00D95744">
        <w:rPr>
          <w:rFonts w:ascii="Calibri" w:hAnsi="Calibri"/>
          <w:b/>
          <w:color w:val="FF0000"/>
          <w:sz w:val="32"/>
          <w:szCs w:val="28"/>
        </w:rPr>
        <w:t xml:space="preserve">SONUNDA </w:t>
      </w:r>
      <w:r w:rsidRPr="00D95744">
        <w:rPr>
          <w:rFonts w:ascii="Calibri" w:hAnsi="Calibri"/>
          <w:b/>
          <w:color w:val="FF0000"/>
          <w:sz w:val="32"/>
          <w:szCs w:val="28"/>
        </w:rPr>
        <w:t>EĞİTİMİN DURUMU</w:t>
      </w:r>
    </w:p>
    <w:p w:rsidR="006B4E2C" w:rsidRPr="004C65D4" w:rsidRDefault="006B4E2C" w:rsidP="006B4E2C">
      <w:pPr>
        <w:rPr>
          <w:rFonts w:cstheme="minorHAnsi"/>
          <w:color w:val="000000" w:themeColor="text1"/>
          <w:sz w:val="18"/>
          <w:szCs w:val="21"/>
          <w:shd w:val="clear" w:color="auto" w:fill="FFFFFF"/>
        </w:rPr>
      </w:pPr>
    </w:p>
    <w:p w:rsidR="00047D84" w:rsidRDefault="00804DA2" w:rsidP="00047D84">
      <w:pPr>
        <w:ind w:firstLine="426"/>
        <w:rPr>
          <w:rFonts w:cstheme="minorHAnsi"/>
          <w:color w:val="000000" w:themeColor="text1"/>
          <w:sz w:val="24"/>
          <w:szCs w:val="21"/>
        </w:rPr>
      </w:pPr>
      <w:r>
        <w:rPr>
          <w:rFonts w:cstheme="minorHAnsi"/>
          <w:color w:val="000000" w:themeColor="text1"/>
          <w:sz w:val="24"/>
          <w:szCs w:val="21"/>
          <w:shd w:val="clear" w:color="auto" w:fill="FFFFFF"/>
        </w:rPr>
        <w:t xml:space="preserve">Covid-19 </w:t>
      </w:r>
      <w:proofErr w:type="spellStart"/>
      <w:r>
        <w:rPr>
          <w:rFonts w:cstheme="minorHAnsi"/>
          <w:color w:val="000000" w:themeColor="text1"/>
          <w:sz w:val="24"/>
          <w:szCs w:val="21"/>
          <w:shd w:val="clear" w:color="auto" w:fill="FFFFFF"/>
        </w:rPr>
        <w:t>pandemisinin</w:t>
      </w:r>
      <w:proofErr w:type="spellEnd"/>
      <w:r>
        <w:rPr>
          <w:rFonts w:cstheme="minorHAnsi"/>
          <w:color w:val="000000" w:themeColor="text1"/>
          <w:sz w:val="24"/>
          <w:szCs w:val="21"/>
          <w:shd w:val="clear" w:color="auto" w:fill="FFFFFF"/>
        </w:rPr>
        <w:t xml:space="preserve"> gölgesinde </w:t>
      </w:r>
      <w:r w:rsidR="00D54F88">
        <w:rPr>
          <w:rFonts w:cstheme="minorHAnsi"/>
          <w:color w:val="000000" w:themeColor="text1"/>
          <w:sz w:val="24"/>
          <w:szCs w:val="21"/>
          <w:shd w:val="clear" w:color="auto" w:fill="FFFFFF"/>
        </w:rPr>
        <w:t xml:space="preserve">başlayan </w:t>
      </w:r>
      <w:r w:rsidR="00D54F88" w:rsidRPr="00AD60B6">
        <w:rPr>
          <w:rFonts w:cstheme="minorHAnsi"/>
          <w:color w:val="000000" w:themeColor="text1"/>
          <w:sz w:val="24"/>
          <w:szCs w:val="21"/>
          <w:shd w:val="clear" w:color="auto" w:fill="FFFFFF"/>
        </w:rPr>
        <w:t>2020-2021 eğitim öğretim yılı</w:t>
      </w:r>
      <w:r w:rsidR="00613E25">
        <w:rPr>
          <w:rFonts w:cstheme="minorHAnsi"/>
          <w:color w:val="000000" w:themeColor="text1"/>
          <w:sz w:val="24"/>
          <w:szCs w:val="21"/>
          <w:shd w:val="clear" w:color="auto" w:fill="FFFFFF"/>
        </w:rPr>
        <w:t>,</w:t>
      </w:r>
      <w:r>
        <w:rPr>
          <w:rFonts w:cstheme="minorHAnsi"/>
          <w:color w:val="000000" w:themeColor="text1"/>
          <w:sz w:val="24"/>
          <w:szCs w:val="21"/>
          <w:shd w:val="clear" w:color="auto" w:fill="FFFFFF"/>
        </w:rPr>
        <w:t xml:space="preserve"> 18 Haziran Cuma günü karnelerin dağıtılmasıyla sona erecektir. </w:t>
      </w:r>
      <w:r w:rsidRPr="00B84F77">
        <w:rPr>
          <w:rFonts w:cstheme="minorHAnsi"/>
          <w:color w:val="000000" w:themeColor="text1"/>
          <w:sz w:val="24"/>
          <w:szCs w:val="21"/>
        </w:rPr>
        <w:t xml:space="preserve">Covid-19’un </w:t>
      </w:r>
      <w:proofErr w:type="spellStart"/>
      <w:r w:rsidRPr="00B84F77">
        <w:rPr>
          <w:rFonts w:cstheme="minorHAnsi"/>
          <w:color w:val="000000" w:themeColor="text1"/>
          <w:sz w:val="24"/>
          <w:szCs w:val="21"/>
        </w:rPr>
        <w:t>pandemi</w:t>
      </w:r>
      <w:proofErr w:type="spellEnd"/>
      <w:r w:rsidRPr="00B84F77">
        <w:rPr>
          <w:rFonts w:cstheme="minorHAnsi"/>
          <w:color w:val="000000" w:themeColor="text1"/>
          <w:sz w:val="24"/>
          <w:szCs w:val="21"/>
        </w:rPr>
        <w:t xml:space="preserve"> olarak ilan edildiği Mart 2020’den bu yana,</w:t>
      </w:r>
      <w:r w:rsidR="00047D84">
        <w:rPr>
          <w:rFonts w:cstheme="minorHAnsi"/>
          <w:color w:val="000000" w:themeColor="text1"/>
          <w:sz w:val="24"/>
          <w:szCs w:val="21"/>
        </w:rPr>
        <w:t xml:space="preserve"> dünyanın pek çok ülkesinde sağlık ile birlikte eğitim sorunları öncelikli olarak ele alınmış ve öğrencilerin </w:t>
      </w:r>
      <w:proofErr w:type="spellStart"/>
      <w:r w:rsidR="00047D84">
        <w:rPr>
          <w:rFonts w:cstheme="minorHAnsi"/>
          <w:color w:val="000000" w:themeColor="text1"/>
          <w:sz w:val="24"/>
          <w:szCs w:val="21"/>
        </w:rPr>
        <w:t>pandemi</w:t>
      </w:r>
      <w:proofErr w:type="spellEnd"/>
      <w:r w:rsidR="00047D84">
        <w:rPr>
          <w:rFonts w:cstheme="minorHAnsi"/>
          <w:color w:val="000000" w:themeColor="text1"/>
          <w:sz w:val="24"/>
          <w:szCs w:val="21"/>
        </w:rPr>
        <w:t xml:space="preserve"> sürecinden en az etkilenmesi için tedbir arayışına girilmiştir. </w:t>
      </w:r>
    </w:p>
    <w:p w:rsidR="00047D84" w:rsidRDefault="00047D84" w:rsidP="00047D84">
      <w:pPr>
        <w:ind w:firstLine="426"/>
        <w:rPr>
          <w:rFonts w:cstheme="minorHAnsi"/>
          <w:sz w:val="24"/>
          <w:szCs w:val="24"/>
          <w:shd w:val="clear" w:color="auto" w:fill="FFFFFF"/>
        </w:rPr>
      </w:pPr>
      <w:r w:rsidRPr="005B0180">
        <w:rPr>
          <w:rFonts w:cstheme="minorHAnsi"/>
          <w:sz w:val="24"/>
          <w:szCs w:val="24"/>
        </w:rPr>
        <w:t>Birleşmiş Milletler Eğitim, Bilim ve Kültür Örgütü UNESCO verilerine göre</w:t>
      </w:r>
      <w:r w:rsidR="00613E25">
        <w:rPr>
          <w:rFonts w:cstheme="minorHAnsi"/>
          <w:sz w:val="24"/>
          <w:szCs w:val="24"/>
        </w:rPr>
        <w:t>,</w:t>
      </w:r>
      <w:r w:rsidRPr="005B0180">
        <w:rPr>
          <w:rFonts w:cstheme="minorHAnsi"/>
          <w:sz w:val="24"/>
          <w:szCs w:val="24"/>
        </w:rPr>
        <w:t xml:space="preserve"> 31 Mayıs 2021 itibarıyla 210 ülkenin 116’sında okullar tamamen açık, 58’inde kısmen açık, 13’ünde ara tatil, 23’ünde ise kapalıdır. </w:t>
      </w:r>
      <w:r w:rsidR="005B0180" w:rsidRPr="005B0180">
        <w:rPr>
          <w:rFonts w:cstheme="minorHAnsi"/>
          <w:sz w:val="24"/>
          <w:szCs w:val="24"/>
        </w:rPr>
        <w:t xml:space="preserve">Başka bir ifade ile </w:t>
      </w:r>
      <w:r w:rsidRPr="005B0180">
        <w:rPr>
          <w:rFonts w:cstheme="minorHAnsi"/>
          <w:sz w:val="24"/>
          <w:szCs w:val="24"/>
          <w:shd w:val="clear" w:color="auto" w:fill="FFFFFF"/>
        </w:rPr>
        <w:t>210 ülkenin %55’inde okullar tamamen açık, %28’inde kısmen açık, %6’sında ara tatil, %11’inde ise kapalıdır.</w:t>
      </w:r>
    </w:p>
    <w:p w:rsidR="005B0180" w:rsidRDefault="005B0180" w:rsidP="005B0180">
      <w:pPr>
        <w:ind w:firstLine="426"/>
        <w:rPr>
          <w:sz w:val="24"/>
        </w:rPr>
      </w:pPr>
      <w:r w:rsidRPr="006B4E2C">
        <w:rPr>
          <w:sz w:val="24"/>
        </w:rPr>
        <w:t>UNESCO’nun verilerine göre</w:t>
      </w:r>
      <w:r w:rsidR="002339BF">
        <w:rPr>
          <w:sz w:val="24"/>
        </w:rPr>
        <w:t>,</w:t>
      </w:r>
      <w:r w:rsidRPr="006B4E2C">
        <w:rPr>
          <w:sz w:val="24"/>
        </w:rPr>
        <w:t xml:space="preserve"> </w:t>
      </w:r>
      <w:r>
        <w:rPr>
          <w:sz w:val="24"/>
        </w:rPr>
        <w:t>C</w:t>
      </w:r>
      <w:r w:rsidRPr="006B4E2C">
        <w:rPr>
          <w:sz w:val="24"/>
        </w:rPr>
        <w:t xml:space="preserve">ovid-19 </w:t>
      </w:r>
      <w:proofErr w:type="spellStart"/>
      <w:r>
        <w:rPr>
          <w:sz w:val="24"/>
        </w:rPr>
        <w:t>pandemisi</w:t>
      </w:r>
      <w:proofErr w:type="spellEnd"/>
      <w:r w:rsidRPr="006B4E2C">
        <w:rPr>
          <w:sz w:val="24"/>
        </w:rPr>
        <w:t xml:space="preserve"> dünyada 1,6 milyardan fazla çocuğun eğitimini etkilemiştir. Bu sayı dünya üzerindeki çocukların yüzde 90’ını ifade etmektedir. Salgından dolayı 10 milyona yakın çocuğun okulu bırakma riski ortaya çıkmıştır. Uluslararası Çalışma</w:t>
      </w:r>
      <w:r>
        <w:rPr>
          <w:sz w:val="24"/>
        </w:rPr>
        <w:t xml:space="preserve"> Örgütü (ILO) ve UNICEF’e göre</w:t>
      </w:r>
      <w:r w:rsidR="002339BF">
        <w:rPr>
          <w:sz w:val="24"/>
        </w:rPr>
        <w:t>,</w:t>
      </w:r>
      <w:r>
        <w:rPr>
          <w:sz w:val="24"/>
        </w:rPr>
        <w:t xml:space="preserve"> C</w:t>
      </w:r>
      <w:r w:rsidRPr="006B4E2C">
        <w:rPr>
          <w:sz w:val="24"/>
        </w:rPr>
        <w:t xml:space="preserve">ovid-19 salgını sonucunda milyonlarca çocuğun çocuk işçiliğine itilmesi riski </w:t>
      </w:r>
      <w:r>
        <w:rPr>
          <w:sz w:val="24"/>
        </w:rPr>
        <w:t xml:space="preserve">artmıştır. </w:t>
      </w:r>
      <w:r w:rsidRPr="006B4E2C">
        <w:rPr>
          <w:sz w:val="24"/>
        </w:rPr>
        <w:t xml:space="preserve"> </w:t>
      </w:r>
    </w:p>
    <w:p w:rsidR="009F2E35" w:rsidRPr="000A4FE7" w:rsidRDefault="009F2E35" w:rsidP="009F2E35">
      <w:pPr>
        <w:ind w:firstLine="426"/>
        <w:rPr>
          <w:sz w:val="24"/>
        </w:rPr>
      </w:pPr>
      <w:proofErr w:type="gramStart"/>
      <w:r w:rsidRPr="00FA0E4B">
        <w:rPr>
          <w:sz w:val="24"/>
        </w:rPr>
        <w:t>Türkiye’de bir tarafta hem tablete, hem bilgisayara hem de akıllı telefona erişen öğrenciler, diğer tarafta herhangi bir cihaza sahip olmadığı için akşam babasının ya da annesinin eve gelmesini bekleyen ve onun cep telefonundan internete girmeye çalışan hatta evinde televizyonu olmayan</w:t>
      </w:r>
      <w:r w:rsidR="002339BF">
        <w:rPr>
          <w:sz w:val="24"/>
        </w:rPr>
        <w:t>,</w:t>
      </w:r>
      <w:r w:rsidRPr="00FA0E4B">
        <w:rPr>
          <w:sz w:val="24"/>
        </w:rPr>
        <w:t xml:space="preserve"> olsa dahi kalabalık hanede yaşadığı için televizyon önceliği olmayan öğrenciler</w:t>
      </w:r>
      <w:r>
        <w:rPr>
          <w:sz w:val="24"/>
        </w:rPr>
        <w:t xml:space="preserve"> bulunmaktadır</w:t>
      </w:r>
      <w:r w:rsidRPr="00FA0E4B">
        <w:rPr>
          <w:sz w:val="24"/>
        </w:rPr>
        <w:t xml:space="preserve">. </w:t>
      </w:r>
      <w:proofErr w:type="gramEnd"/>
    </w:p>
    <w:p w:rsidR="005B0180" w:rsidRPr="005B0180" w:rsidRDefault="00047D84" w:rsidP="005B0180">
      <w:pPr>
        <w:ind w:firstLine="426"/>
        <w:rPr>
          <w:sz w:val="24"/>
        </w:rPr>
      </w:pPr>
      <w:r w:rsidRPr="00D7503B">
        <w:rPr>
          <w:sz w:val="24"/>
        </w:rPr>
        <w:t>Türkiye 2020</w:t>
      </w:r>
      <w:r>
        <w:rPr>
          <w:sz w:val="24"/>
        </w:rPr>
        <w:t xml:space="preserve">-2021 eğitim öğretim </w:t>
      </w:r>
      <w:r w:rsidR="002339BF">
        <w:rPr>
          <w:sz w:val="24"/>
        </w:rPr>
        <w:t>yılında iş günü itibarı</w:t>
      </w:r>
      <w:r w:rsidR="002339BF" w:rsidRPr="00D7503B">
        <w:rPr>
          <w:sz w:val="24"/>
        </w:rPr>
        <w:t>yla</w:t>
      </w:r>
      <w:r w:rsidRPr="00D7503B">
        <w:rPr>
          <w:sz w:val="24"/>
        </w:rPr>
        <w:t xml:space="preserve"> okulları en uzun süre kapatan ülke</w:t>
      </w:r>
      <w:r w:rsidR="005B0180">
        <w:rPr>
          <w:sz w:val="24"/>
        </w:rPr>
        <w:t>ler</w:t>
      </w:r>
      <w:r w:rsidRPr="00D7503B">
        <w:rPr>
          <w:sz w:val="24"/>
        </w:rPr>
        <w:t xml:space="preserve"> arasındadır. </w:t>
      </w:r>
      <w:r w:rsidR="005B0180" w:rsidRPr="005B0180">
        <w:rPr>
          <w:sz w:val="24"/>
        </w:rPr>
        <w:t>Kovid-19 salgını tedbirleri kapsamında, TRT EBA, EBA ve canlı dersler kullanılarak uzaktan eğitim yoluyla başlayan 2020-2021 eğitim öğretim döneminde, 15 Şubat'tan itibaren kademeli yüz yüze eğitime geçiş yapıl</w:t>
      </w:r>
      <w:r w:rsidR="005B0180">
        <w:rPr>
          <w:sz w:val="24"/>
        </w:rPr>
        <w:t xml:space="preserve">mıştır. </w:t>
      </w:r>
      <w:r w:rsidR="005B0180" w:rsidRPr="005B0180">
        <w:rPr>
          <w:sz w:val="24"/>
        </w:rPr>
        <w:t>1 Mart'tan itibaren kimi yerde yüz yüze ve kimi yerde uzaktan eğitim şeklinde faaliyetlere devam edil</w:t>
      </w:r>
      <w:r w:rsidR="005B0180">
        <w:rPr>
          <w:sz w:val="24"/>
        </w:rPr>
        <w:t xml:space="preserve">miş, </w:t>
      </w:r>
      <w:r w:rsidR="005B0180" w:rsidRPr="005B0180">
        <w:rPr>
          <w:sz w:val="24"/>
        </w:rPr>
        <w:t>alınan tam kapanma tedbirleri kapsamında ise 29 Nisan-17 Mayıs</w:t>
      </w:r>
      <w:r w:rsidR="00FE3087">
        <w:rPr>
          <w:sz w:val="24"/>
        </w:rPr>
        <w:t xml:space="preserve"> arasında </w:t>
      </w:r>
      <w:r w:rsidR="005B0180" w:rsidRPr="005B0180">
        <w:rPr>
          <w:sz w:val="24"/>
        </w:rPr>
        <w:t>uzaktan eğitim uygulan</w:t>
      </w:r>
      <w:r w:rsidR="005B0180">
        <w:rPr>
          <w:sz w:val="24"/>
        </w:rPr>
        <w:t xml:space="preserve">mıştır. </w:t>
      </w:r>
    </w:p>
    <w:p w:rsidR="009F2E35" w:rsidRDefault="005B0180" w:rsidP="009F2E35">
      <w:pPr>
        <w:ind w:firstLine="426"/>
        <w:rPr>
          <w:sz w:val="24"/>
        </w:rPr>
      </w:pPr>
      <w:r w:rsidRPr="005B0180">
        <w:rPr>
          <w:sz w:val="24"/>
        </w:rPr>
        <w:t>Okul öncesi, özel eğitim merkezleri ile 8 ve 12. sınıfların destekleme ve yetiştirme kurslarında, 17 Mayıs'tan itibaren yüz yüze eğitime geçil</w:t>
      </w:r>
      <w:r>
        <w:rPr>
          <w:sz w:val="24"/>
        </w:rPr>
        <w:t xml:space="preserve">miş, </w:t>
      </w:r>
      <w:r w:rsidRPr="005B0180">
        <w:rPr>
          <w:sz w:val="24"/>
        </w:rPr>
        <w:t>diğer kademelerde ise 1 Haziran Salı gününe kadar uzaktan eğitime devam edil</w:t>
      </w:r>
      <w:r>
        <w:rPr>
          <w:sz w:val="24"/>
        </w:rPr>
        <w:t xml:space="preserve">miştir. </w:t>
      </w:r>
      <w:r w:rsidRPr="005B0180">
        <w:rPr>
          <w:sz w:val="24"/>
        </w:rPr>
        <w:t>Tüm ilkokullar</w:t>
      </w:r>
      <w:r w:rsidR="00764370">
        <w:rPr>
          <w:sz w:val="24"/>
        </w:rPr>
        <w:t>da</w:t>
      </w:r>
      <w:r w:rsidRPr="005B0180">
        <w:rPr>
          <w:sz w:val="24"/>
        </w:rPr>
        <w:t xml:space="preserve"> ve okul bünyesindeki ana sınıflarında</w:t>
      </w:r>
      <w:r w:rsidR="00764370">
        <w:rPr>
          <w:sz w:val="24"/>
        </w:rPr>
        <w:t>,</w:t>
      </w:r>
      <w:r w:rsidRPr="005B0180">
        <w:rPr>
          <w:sz w:val="24"/>
        </w:rPr>
        <w:t xml:space="preserve"> haftada 2 gün, köy ve seyrek nüfuslu yerleşim yerlerindeki okullarda ise haftanın 5 günü tam zamanlı</w:t>
      </w:r>
      <w:r>
        <w:rPr>
          <w:sz w:val="24"/>
        </w:rPr>
        <w:t xml:space="preserve"> yüz yüze eğitim ise </w:t>
      </w:r>
      <w:r w:rsidRPr="005B0180">
        <w:rPr>
          <w:sz w:val="24"/>
        </w:rPr>
        <w:t>1 Haziran itibarıyla başlatıl</w:t>
      </w:r>
      <w:r>
        <w:rPr>
          <w:sz w:val="24"/>
        </w:rPr>
        <w:t>mıştır. C</w:t>
      </w:r>
      <w:r w:rsidRPr="005B0180">
        <w:rPr>
          <w:sz w:val="24"/>
        </w:rPr>
        <w:t>ovid-19 ile mücadele sürecinde hazirana ilişkin kademeli normalleşme kapsamında, Türkiye genelinde ortaokul ve liselerde 8 Haziran'da yüz yüze eğitime geçil</w:t>
      </w:r>
      <w:r>
        <w:rPr>
          <w:sz w:val="24"/>
        </w:rPr>
        <w:t xml:space="preserve">miştir. </w:t>
      </w:r>
    </w:p>
    <w:p w:rsidR="00C21D7B" w:rsidRDefault="009F2E35" w:rsidP="009F2E35">
      <w:pPr>
        <w:ind w:firstLine="426"/>
        <w:rPr>
          <w:sz w:val="24"/>
        </w:rPr>
      </w:pPr>
      <w:r w:rsidRPr="009F2E35">
        <w:rPr>
          <w:sz w:val="24"/>
        </w:rPr>
        <w:t xml:space="preserve">MEB, </w:t>
      </w:r>
      <w:proofErr w:type="spellStart"/>
      <w:r w:rsidRPr="009F2E35">
        <w:rPr>
          <w:sz w:val="24"/>
        </w:rPr>
        <w:t>pandemi</w:t>
      </w:r>
      <w:proofErr w:type="spellEnd"/>
      <w:r w:rsidRPr="009F2E35">
        <w:rPr>
          <w:sz w:val="24"/>
        </w:rPr>
        <w:t xml:space="preserve"> nedeniyle okulların kapatıldığı dönem için, yaz döneminde belirli bir süre telafi eğitimi yapılacağını, öğrencilere uzaktan eğitim sürecinde kapsanan konulardan not verilmeyeceğini açıklamıştır. </w:t>
      </w:r>
      <w:proofErr w:type="gramStart"/>
      <w:r w:rsidRPr="009F2E35">
        <w:rPr>
          <w:sz w:val="24"/>
        </w:rPr>
        <w:t>Telafi eğitimi için</w:t>
      </w:r>
      <w:r w:rsidR="002A53B0">
        <w:rPr>
          <w:sz w:val="24"/>
        </w:rPr>
        <w:t>,</w:t>
      </w:r>
      <w:r w:rsidRPr="009F2E35">
        <w:rPr>
          <w:sz w:val="24"/>
        </w:rPr>
        <w:t xml:space="preserve"> öğretmenlerin yaz döneminde çalışmalarına hukuki zemin oluşturmak için </w:t>
      </w:r>
      <w:r w:rsidR="00820FA9" w:rsidRPr="009F2E35">
        <w:rPr>
          <w:sz w:val="24"/>
        </w:rPr>
        <w:t>15.04.2020</w:t>
      </w:r>
      <w:r w:rsidRPr="009F2E35">
        <w:rPr>
          <w:sz w:val="24"/>
        </w:rPr>
        <w:t xml:space="preserve"> </w:t>
      </w:r>
      <w:r w:rsidR="00820FA9">
        <w:rPr>
          <w:sz w:val="24"/>
        </w:rPr>
        <w:t>t</w:t>
      </w:r>
      <w:r w:rsidRPr="009F2E35">
        <w:rPr>
          <w:sz w:val="24"/>
        </w:rPr>
        <w:t>ar</w:t>
      </w:r>
      <w:r w:rsidR="00820FA9">
        <w:rPr>
          <w:sz w:val="24"/>
        </w:rPr>
        <w:t>ih 7243 sayılı Kanunun 24. m</w:t>
      </w:r>
      <w:r w:rsidRPr="009F2E35">
        <w:rPr>
          <w:sz w:val="24"/>
        </w:rPr>
        <w:t>addesi ile “</w:t>
      </w:r>
      <w:r w:rsidRPr="00FE3087">
        <w:rPr>
          <w:i/>
          <w:sz w:val="24"/>
        </w:rPr>
        <w:t xml:space="preserve">İlçe, il veya ülke genelinde genel hayatı etkileyen salgın hastalık, doğal afet, elverişsiz hava koşulları gibi nedenlerle eğitim ve öğretim faaliyetinin iki haftadan fazla süreyle yapılamaması halinde uygulanacak telafi programlarının ders yılı içerisinde tamamlanamadığı durumlarda yaz tatilinde yapılacak eğitim ve öğretim faaliyetleri nedeniyle Milli Eğitim Bakanlığınca öğretmenlerin izinleri kısaltılabilir. </w:t>
      </w:r>
      <w:proofErr w:type="gramEnd"/>
      <w:r w:rsidRPr="00FE3087">
        <w:rPr>
          <w:i/>
          <w:sz w:val="24"/>
        </w:rPr>
        <w:t>Bu durumda öğretmenlerin izinleri bir aydan az olamaz</w:t>
      </w:r>
      <w:r w:rsidRPr="009F2E35">
        <w:rPr>
          <w:sz w:val="24"/>
        </w:rPr>
        <w:t>.” hükmü getirilmiştir.</w:t>
      </w:r>
      <w:r w:rsidR="00C21D7B">
        <w:rPr>
          <w:sz w:val="24"/>
        </w:rPr>
        <w:t xml:space="preserve"> </w:t>
      </w:r>
    </w:p>
    <w:p w:rsidR="00C21D7B" w:rsidRDefault="00C21D7B" w:rsidP="00C21D7B">
      <w:pPr>
        <w:ind w:firstLine="426"/>
        <w:rPr>
          <w:rFonts w:cstheme="minorHAnsi"/>
          <w:color w:val="000000" w:themeColor="text1"/>
          <w:sz w:val="24"/>
          <w:szCs w:val="21"/>
        </w:rPr>
      </w:pPr>
      <w:r>
        <w:rPr>
          <w:rFonts w:cstheme="minorHAnsi"/>
          <w:color w:val="000000" w:themeColor="text1"/>
          <w:sz w:val="24"/>
          <w:szCs w:val="21"/>
        </w:rPr>
        <w:t xml:space="preserve">Örgün eğitimin bütün kademelerinde yer alan </w:t>
      </w:r>
      <w:r w:rsidRPr="00B84F77">
        <w:rPr>
          <w:rFonts w:cstheme="minorHAnsi"/>
          <w:color w:val="000000" w:themeColor="text1"/>
          <w:sz w:val="24"/>
          <w:szCs w:val="21"/>
        </w:rPr>
        <w:t>öğrenci</w:t>
      </w:r>
      <w:r>
        <w:rPr>
          <w:rFonts w:cstheme="minorHAnsi"/>
          <w:color w:val="000000" w:themeColor="text1"/>
          <w:sz w:val="24"/>
          <w:szCs w:val="21"/>
        </w:rPr>
        <w:t>ler</w:t>
      </w:r>
      <w:r w:rsidRPr="00B84F77">
        <w:rPr>
          <w:rFonts w:cstheme="minorHAnsi"/>
          <w:color w:val="000000" w:themeColor="text1"/>
          <w:sz w:val="24"/>
          <w:szCs w:val="21"/>
        </w:rPr>
        <w:t>i</w:t>
      </w:r>
      <w:r>
        <w:rPr>
          <w:rFonts w:cstheme="minorHAnsi"/>
          <w:color w:val="000000" w:themeColor="text1"/>
          <w:sz w:val="24"/>
          <w:szCs w:val="21"/>
        </w:rPr>
        <w:t xml:space="preserve">miz 16 ay boyunca </w:t>
      </w:r>
      <w:r w:rsidRPr="00B84F77">
        <w:rPr>
          <w:rFonts w:cstheme="minorHAnsi"/>
          <w:color w:val="000000" w:themeColor="text1"/>
          <w:sz w:val="24"/>
          <w:szCs w:val="21"/>
        </w:rPr>
        <w:t xml:space="preserve">akademik, sosyal, psikolojik, fiziksel kayıplar </w:t>
      </w:r>
      <w:r>
        <w:rPr>
          <w:rFonts w:cstheme="minorHAnsi"/>
          <w:color w:val="000000" w:themeColor="text1"/>
          <w:sz w:val="24"/>
          <w:szCs w:val="21"/>
        </w:rPr>
        <w:t xml:space="preserve">yaşamanın yanı sıra ciddi düzeyde </w:t>
      </w:r>
      <w:r w:rsidRPr="00B84F77">
        <w:rPr>
          <w:rFonts w:cstheme="minorHAnsi"/>
          <w:color w:val="000000" w:themeColor="text1"/>
          <w:sz w:val="24"/>
          <w:szCs w:val="21"/>
        </w:rPr>
        <w:t>öğrenme ve beceri kayıpları</w:t>
      </w:r>
      <w:r>
        <w:rPr>
          <w:rFonts w:cstheme="minorHAnsi"/>
          <w:color w:val="000000" w:themeColor="text1"/>
          <w:sz w:val="24"/>
          <w:szCs w:val="21"/>
        </w:rPr>
        <w:t xml:space="preserve"> yaşamıştır. </w:t>
      </w:r>
      <w:r>
        <w:rPr>
          <w:sz w:val="24"/>
        </w:rPr>
        <w:t xml:space="preserve">MEB’in öğrencilerimizin yaşadığı kayıpları “Telafide ben de varım” sloganı ile telafi etmesi mümkün görünmemektedir. </w:t>
      </w:r>
    </w:p>
    <w:p w:rsidR="009F2E35" w:rsidRPr="009F2E35" w:rsidRDefault="009F2E35" w:rsidP="009F2E35">
      <w:pPr>
        <w:ind w:firstLine="426"/>
        <w:rPr>
          <w:sz w:val="24"/>
        </w:rPr>
      </w:pPr>
    </w:p>
    <w:p w:rsidR="009F2E35" w:rsidRDefault="009F2E35" w:rsidP="005B0180">
      <w:pPr>
        <w:ind w:firstLine="426"/>
        <w:rPr>
          <w:sz w:val="24"/>
        </w:rPr>
      </w:pPr>
    </w:p>
    <w:p w:rsidR="00FE3087" w:rsidRDefault="00FE3087" w:rsidP="005B0180">
      <w:pPr>
        <w:ind w:firstLine="426"/>
        <w:rPr>
          <w:sz w:val="24"/>
        </w:rPr>
      </w:pPr>
    </w:p>
    <w:p w:rsidR="00FE3087" w:rsidRPr="005B0180" w:rsidRDefault="00FE3087" w:rsidP="005B0180">
      <w:pPr>
        <w:ind w:firstLine="426"/>
        <w:rPr>
          <w:sz w:val="24"/>
        </w:rPr>
      </w:pPr>
    </w:p>
    <w:p w:rsidR="00CC733A" w:rsidRPr="00CC733A" w:rsidRDefault="00CC733A" w:rsidP="00CC733A">
      <w:pPr>
        <w:rPr>
          <w:b/>
          <w:sz w:val="24"/>
        </w:rPr>
      </w:pPr>
      <w:r w:rsidRPr="00CC733A">
        <w:rPr>
          <w:b/>
          <w:sz w:val="24"/>
        </w:rPr>
        <w:lastRenderedPageBreak/>
        <w:t>UZAKTAN EĞİTİM EĞİTİME ERİŞİMDEKİ EŞİTSİZLİK VE ADALETSİZLİKLERİ DERİNLEŞTİRMİŞTİR</w:t>
      </w:r>
    </w:p>
    <w:p w:rsidR="00CC733A" w:rsidRDefault="00CC733A" w:rsidP="00CC733A">
      <w:pPr>
        <w:rPr>
          <w:sz w:val="24"/>
        </w:rPr>
      </w:pPr>
    </w:p>
    <w:p w:rsidR="008D27BA" w:rsidRDefault="00D7503B" w:rsidP="008D27BA">
      <w:pPr>
        <w:ind w:firstLine="426"/>
        <w:rPr>
          <w:sz w:val="24"/>
        </w:rPr>
      </w:pPr>
      <w:r w:rsidRPr="00F93069">
        <w:rPr>
          <w:sz w:val="24"/>
        </w:rPr>
        <w:t xml:space="preserve">Türkiye’de </w:t>
      </w:r>
      <w:r>
        <w:rPr>
          <w:sz w:val="24"/>
        </w:rPr>
        <w:t xml:space="preserve">yıllardır temel bir sorun olan </w:t>
      </w:r>
      <w:r w:rsidRPr="00F93069">
        <w:rPr>
          <w:sz w:val="24"/>
        </w:rPr>
        <w:t>bölgeler, iller,  ilçeler, mahalleler hatta okullarda</w:t>
      </w:r>
      <w:r>
        <w:rPr>
          <w:sz w:val="24"/>
        </w:rPr>
        <w:t xml:space="preserve"> ve okul içindeki</w:t>
      </w:r>
      <w:r w:rsidRPr="00F93069">
        <w:rPr>
          <w:sz w:val="24"/>
        </w:rPr>
        <w:t xml:space="preserve"> şubeler arasında </w:t>
      </w:r>
      <w:r>
        <w:rPr>
          <w:sz w:val="24"/>
        </w:rPr>
        <w:t xml:space="preserve">yüz yüze </w:t>
      </w:r>
      <w:r w:rsidRPr="00F93069">
        <w:rPr>
          <w:sz w:val="24"/>
        </w:rPr>
        <w:t xml:space="preserve">eğitime erişimde </w:t>
      </w:r>
      <w:r>
        <w:rPr>
          <w:sz w:val="24"/>
        </w:rPr>
        <w:t xml:space="preserve">bile </w:t>
      </w:r>
      <w:r w:rsidRPr="00F93069">
        <w:rPr>
          <w:sz w:val="24"/>
        </w:rPr>
        <w:t xml:space="preserve">hem nitelik hem de nicelik olarak ciddi farklılıklar </w:t>
      </w:r>
      <w:r>
        <w:rPr>
          <w:sz w:val="24"/>
        </w:rPr>
        <w:t xml:space="preserve">olduğu bilinmektedir. </w:t>
      </w:r>
      <w:r w:rsidRPr="00467727">
        <w:rPr>
          <w:sz w:val="24"/>
        </w:rPr>
        <w:t>Salgın süreci ile b</w:t>
      </w:r>
      <w:r w:rsidR="00C60AE4">
        <w:rPr>
          <w:sz w:val="24"/>
        </w:rPr>
        <w:t xml:space="preserve">irlikte eğitimdeki </w:t>
      </w:r>
      <w:r>
        <w:rPr>
          <w:sz w:val="24"/>
        </w:rPr>
        <w:t>eşitsizlikler ve adaletsizlikler daha da derinleşmiş</w:t>
      </w:r>
      <w:r w:rsidR="00D95744">
        <w:rPr>
          <w:sz w:val="24"/>
        </w:rPr>
        <w:t xml:space="preserve">tir. </w:t>
      </w:r>
    </w:p>
    <w:p w:rsidR="008D27BA" w:rsidRPr="008D27BA" w:rsidRDefault="008D27BA" w:rsidP="008D27BA">
      <w:pPr>
        <w:ind w:firstLine="426"/>
        <w:rPr>
          <w:sz w:val="24"/>
        </w:rPr>
      </w:pPr>
      <w:proofErr w:type="spellStart"/>
      <w:r w:rsidRPr="008D27BA">
        <w:rPr>
          <w:sz w:val="24"/>
        </w:rPr>
        <w:t>Pandeminin</w:t>
      </w:r>
      <w:proofErr w:type="spellEnd"/>
      <w:r w:rsidRPr="008D27BA">
        <w:rPr>
          <w:sz w:val="24"/>
        </w:rPr>
        <w:t xml:space="preserve"> başından itibaren çocukların ve gençlerin yüz yüze eğitimini önceleyen, okulları ‘ilk açan ve en son kapatılan mekânlar’ olarak gören bir eğitim stratejisi izlenmemiştir. Çocukların ve gençlerin eğitim hakkı, tüm olanaklara rağmen karşılanmamış, derin yoksulluğa bağlı olarak eğitimdeki eşitsizlikler çok yönlü olarak artmıştır. Toplu ve kontrolsüz açılışlar ve göstermelik ‘tam </w:t>
      </w:r>
      <w:proofErr w:type="spellStart"/>
      <w:r w:rsidRPr="008D27BA">
        <w:rPr>
          <w:sz w:val="24"/>
        </w:rPr>
        <w:t>kapanma’lar</w:t>
      </w:r>
      <w:proofErr w:type="spellEnd"/>
      <w:r w:rsidRPr="008D27BA">
        <w:rPr>
          <w:sz w:val="24"/>
        </w:rPr>
        <w:t xml:space="preserve"> gibi gayri ciddi eğitim planlamaları yapılmış, akşamdan sabaha değişen kararlar alınmıştır. Uzaktan ve yüz yüze eğitimdeki beceriksizlik nedeniyle eğitim öğretimde tüm kademelerde bir buçuk yıl adeta heba edilmiştir. </w:t>
      </w:r>
    </w:p>
    <w:p w:rsidR="00D95744" w:rsidRDefault="00D95744" w:rsidP="00D95744">
      <w:pPr>
        <w:ind w:firstLine="426"/>
        <w:rPr>
          <w:rFonts w:cstheme="minorHAnsi"/>
          <w:color w:val="000000" w:themeColor="text1"/>
          <w:sz w:val="24"/>
          <w:szCs w:val="21"/>
        </w:rPr>
      </w:pPr>
      <w:proofErr w:type="spellStart"/>
      <w:r>
        <w:rPr>
          <w:sz w:val="24"/>
        </w:rPr>
        <w:t>Pandemi</w:t>
      </w:r>
      <w:proofErr w:type="spellEnd"/>
      <w:r w:rsidRPr="00467727">
        <w:rPr>
          <w:sz w:val="24"/>
        </w:rPr>
        <w:t xml:space="preserve"> riskine karşı uzaktan eğitime geçilmesi ile kamusal bir hizmet olan ve her çocuğun eşit bir şekilde faydalanması gereken eğitim hakkına ulaşmak güçleşmiştir. Özellikle düşük gelirli ve yoksul aile çocukları ile mevsimlik tarım işçiliği yapan çocuklar normal koşullarda bile eğitim olanaklarından yeterince yararlanamazken, uzaktan eğitim ile birlikte her çocuğun ulaşabileceği bilgisayar, internet gibi teknolojik araçlarının olmaması, çocukların eğitim sisteminden dışlanmalarına yol açmıştır.</w:t>
      </w:r>
      <w:r>
        <w:rPr>
          <w:sz w:val="24"/>
        </w:rPr>
        <w:t xml:space="preserve"> </w:t>
      </w:r>
      <w:r>
        <w:rPr>
          <w:rFonts w:cstheme="minorHAnsi"/>
          <w:color w:val="000000" w:themeColor="text1"/>
          <w:sz w:val="24"/>
          <w:szCs w:val="21"/>
        </w:rPr>
        <w:t xml:space="preserve">Örgün eğitimin </w:t>
      </w:r>
      <w:r w:rsidRPr="00B84F77">
        <w:rPr>
          <w:rFonts w:cstheme="minorHAnsi"/>
          <w:color w:val="000000" w:themeColor="text1"/>
          <w:sz w:val="24"/>
          <w:szCs w:val="21"/>
        </w:rPr>
        <w:t>her kademe</w:t>
      </w:r>
      <w:r>
        <w:rPr>
          <w:rFonts w:cstheme="minorHAnsi"/>
          <w:color w:val="000000" w:themeColor="text1"/>
          <w:sz w:val="24"/>
          <w:szCs w:val="21"/>
        </w:rPr>
        <w:t xml:space="preserve">sinde </w:t>
      </w:r>
      <w:r w:rsidRPr="00B84F77">
        <w:rPr>
          <w:rFonts w:cstheme="minorHAnsi"/>
          <w:color w:val="000000" w:themeColor="text1"/>
          <w:sz w:val="24"/>
          <w:szCs w:val="21"/>
        </w:rPr>
        <w:t>öğrenci</w:t>
      </w:r>
      <w:r>
        <w:rPr>
          <w:rFonts w:cstheme="minorHAnsi"/>
          <w:color w:val="000000" w:themeColor="text1"/>
          <w:sz w:val="24"/>
          <w:szCs w:val="21"/>
        </w:rPr>
        <w:t>ler</w:t>
      </w:r>
      <w:r w:rsidRPr="00B84F77">
        <w:rPr>
          <w:rFonts w:cstheme="minorHAnsi"/>
          <w:color w:val="000000" w:themeColor="text1"/>
          <w:sz w:val="24"/>
          <w:szCs w:val="21"/>
        </w:rPr>
        <w:t>i</w:t>
      </w:r>
      <w:r>
        <w:rPr>
          <w:rFonts w:cstheme="minorHAnsi"/>
          <w:color w:val="000000" w:themeColor="text1"/>
          <w:sz w:val="24"/>
          <w:szCs w:val="21"/>
        </w:rPr>
        <w:t xml:space="preserve">miz </w:t>
      </w:r>
      <w:r w:rsidRPr="00B84F77">
        <w:rPr>
          <w:rFonts w:cstheme="minorHAnsi"/>
          <w:color w:val="000000" w:themeColor="text1"/>
          <w:sz w:val="24"/>
          <w:szCs w:val="21"/>
        </w:rPr>
        <w:t xml:space="preserve">akademik, sosyal, psikolojik, fiziksel kayıplar </w:t>
      </w:r>
      <w:r>
        <w:rPr>
          <w:rFonts w:cstheme="minorHAnsi"/>
          <w:color w:val="000000" w:themeColor="text1"/>
          <w:sz w:val="24"/>
          <w:szCs w:val="21"/>
        </w:rPr>
        <w:t xml:space="preserve">yaşamanın yanı sıra ciddi düzeyde </w:t>
      </w:r>
      <w:r w:rsidRPr="00B84F77">
        <w:rPr>
          <w:rFonts w:cstheme="minorHAnsi"/>
          <w:color w:val="000000" w:themeColor="text1"/>
          <w:sz w:val="24"/>
          <w:szCs w:val="21"/>
        </w:rPr>
        <w:t>öğrenme ve beceri kayıpları</w:t>
      </w:r>
      <w:r>
        <w:rPr>
          <w:rFonts w:cstheme="minorHAnsi"/>
          <w:color w:val="000000" w:themeColor="text1"/>
          <w:sz w:val="24"/>
          <w:szCs w:val="21"/>
        </w:rPr>
        <w:t xml:space="preserve"> yaşamıştır. </w:t>
      </w:r>
    </w:p>
    <w:p w:rsidR="005B0180" w:rsidRPr="00215402" w:rsidRDefault="00CC733A" w:rsidP="005B0180">
      <w:pPr>
        <w:ind w:firstLine="426"/>
        <w:rPr>
          <w:sz w:val="24"/>
        </w:rPr>
      </w:pPr>
      <w:proofErr w:type="spellStart"/>
      <w:r w:rsidRPr="00CC733A">
        <w:rPr>
          <w:sz w:val="24"/>
        </w:rPr>
        <w:t>Pandeminin</w:t>
      </w:r>
      <w:proofErr w:type="spellEnd"/>
      <w:r w:rsidRPr="00CC733A">
        <w:rPr>
          <w:sz w:val="24"/>
        </w:rPr>
        <w:t xml:space="preserve"> ilk aylarında uzaktan eğitimden kopan çocukların sayısı 6 milyon civarındayken MEB Yenilik ve Eğitim Teknolojileri Genel Müdürlüğü’nün son açıklamasına göre, 21 Eylül 2020- 30 Nisan 2021 tarihleri arasında ancak 12 milyon 805 bin öğrenci </w:t>
      </w:r>
      <w:proofErr w:type="spellStart"/>
      <w:r w:rsidRPr="00CC733A">
        <w:rPr>
          <w:sz w:val="24"/>
        </w:rPr>
        <w:t>EBA’yı</w:t>
      </w:r>
      <w:proofErr w:type="spellEnd"/>
      <w:r w:rsidRPr="00CC733A">
        <w:rPr>
          <w:sz w:val="24"/>
        </w:rPr>
        <w:t xml:space="preserve"> etkin biçimde kullanmıştır. Zorunlu eğitime kayıtlı öğrenci sayısı 18 milyon 241 bin 881’dir. Bu veriden özel okul öğrencileri çıkarıldığında, 4 milyonu aşkın öğrencinin hem uzaktan eğitimden, hem de yüz yüze eğitimden uzak kaldığını söylemek mümkündür. </w:t>
      </w:r>
      <w:r w:rsidR="00215402" w:rsidRPr="00215402">
        <w:rPr>
          <w:sz w:val="24"/>
        </w:rPr>
        <w:t xml:space="preserve">Uzaktan eğitime katılan öğrencilerin yüzde 60’ının dersleri yalnızca cep telefonundan izleyebilmesi ve öğrencilerinin derslere katılım sürekliliğine ilişkin bilgi bulunmaması </w:t>
      </w:r>
      <w:r w:rsidR="00215402">
        <w:rPr>
          <w:sz w:val="24"/>
        </w:rPr>
        <w:t xml:space="preserve">eğitime erişemeyen öğrenci sayısının çok </w:t>
      </w:r>
      <w:r w:rsidR="00215402" w:rsidRPr="00215402">
        <w:rPr>
          <w:sz w:val="24"/>
        </w:rPr>
        <w:t>daha yüksek </w:t>
      </w:r>
      <w:r w:rsidR="00215402">
        <w:rPr>
          <w:sz w:val="24"/>
        </w:rPr>
        <w:t xml:space="preserve">olması ihtimalini güçlendirmektedir. </w:t>
      </w:r>
    </w:p>
    <w:p w:rsidR="005B0180" w:rsidRDefault="00CC733A" w:rsidP="005B0180">
      <w:pPr>
        <w:ind w:firstLine="426"/>
        <w:rPr>
          <w:rFonts w:cstheme="minorHAnsi"/>
          <w:sz w:val="24"/>
          <w:szCs w:val="24"/>
        </w:rPr>
      </w:pPr>
      <w:r w:rsidRPr="00330D7A">
        <w:rPr>
          <w:rFonts w:cstheme="minorHAnsi"/>
          <w:sz w:val="24"/>
          <w:szCs w:val="24"/>
        </w:rPr>
        <w:t>Öğretmenlerin uzaktan eğitim konusunda daha önceden bir deneyiminin olmaması, bu süreçte</w:t>
      </w:r>
      <w:r>
        <w:rPr>
          <w:rFonts w:cstheme="minorHAnsi"/>
          <w:sz w:val="24"/>
          <w:szCs w:val="24"/>
        </w:rPr>
        <w:t xml:space="preserve"> </w:t>
      </w:r>
      <w:r w:rsidRPr="00330D7A">
        <w:rPr>
          <w:rFonts w:cstheme="minorHAnsi"/>
          <w:sz w:val="24"/>
          <w:szCs w:val="24"/>
        </w:rPr>
        <w:t>MEB’in sunduğu dijital teknolojinin yeterli olmaması, süreci planlayacak ve yönetecek uzman bir</w:t>
      </w:r>
      <w:r>
        <w:rPr>
          <w:rFonts w:cstheme="minorHAnsi"/>
          <w:sz w:val="24"/>
          <w:szCs w:val="24"/>
        </w:rPr>
        <w:t xml:space="preserve"> </w:t>
      </w:r>
      <w:r w:rsidRPr="00330D7A">
        <w:rPr>
          <w:rFonts w:cstheme="minorHAnsi"/>
          <w:sz w:val="24"/>
          <w:szCs w:val="24"/>
        </w:rPr>
        <w:t>ekibin olmaması da yaşanan sorunlar</w:t>
      </w:r>
      <w:r>
        <w:rPr>
          <w:rFonts w:cstheme="minorHAnsi"/>
          <w:sz w:val="24"/>
          <w:szCs w:val="24"/>
        </w:rPr>
        <w:t xml:space="preserve">ı arttırmıştır. </w:t>
      </w:r>
      <w:r w:rsidRPr="00330D7A">
        <w:rPr>
          <w:rFonts w:cstheme="minorHAnsi"/>
          <w:sz w:val="24"/>
          <w:szCs w:val="24"/>
        </w:rPr>
        <w:t>MEB uzaktan da olsa öğretmenlere, öğrencilere</w:t>
      </w:r>
      <w:r>
        <w:rPr>
          <w:rFonts w:cstheme="minorHAnsi"/>
          <w:sz w:val="24"/>
          <w:szCs w:val="24"/>
        </w:rPr>
        <w:t xml:space="preserve"> </w:t>
      </w:r>
      <w:r w:rsidRPr="00330D7A">
        <w:rPr>
          <w:rFonts w:cstheme="minorHAnsi"/>
          <w:sz w:val="24"/>
          <w:szCs w:val="24"/>
        </w:rPr>
        <w:t>ve velilere bu konuda bilgilendirici ve yön gösterici çalışmalar yapma</w:t>
      </w:r>
      <w:r w:rsidR="00D7503B">
        <w:rPr>
          <w:rFonts w:cstheme="minorHAnsi"/>
          <w:sz w:val="24"/>
          <w:szCs w:val="24"/>
        </w:rPr>
        <w:t xml:space="preserve">kta yetersiz kalmış, </w:t>
      </w:r>
      <w:r w:rsidRPr="00330D7A">
        <w:rPr>
          <w:rFonts w:cstheme="minorHAnsi"/>
          <w:sz w:val="24"/>
          <w:szCs w:val="24"/>
        </w:rPr>
        <w:t>yapılan çalışmalar</w:t>
      </w:r>
      <w:r>
        <w:rPr>
          <w:rFonts w:cstheme="minorHAnsi"/>
          <w:sz w:val="24"/>
          <w:szCs w:val="24"/>
        </w:rPr>
        <w:t xml:space="preserve"> ise </w:t>
      </w:r>
      <w:r w:rsidRPr="00330D7A">
        <w:rPr>
          <w:rFonts w:cstheme="minorHAnsi"/>
          <w:sz w:val="24"/>
          <w:szCs w:val="24"/>
        </w:rPr>
        <w:t>kısıtlı kalmıştır.</w:t>
      </w:r>
      <w:r w:rsidR="005B0180">
        <w:rPr>
          <w:rFonts w:cstheme="minorHAnsi"/>
          <w:sz w:val="24"/>
          <w:szCs w:val="24"/>
        </w:rPr>
        <w:t xml:space="preserve"> </w:t>
      </w:r>
    </w:p>
    <w:p w:rsidR="005B0180" w:rsidRDefault="00CC733A" w:rsidP="005B0180">
      <w:pPr>
        <w:ind w:firstLine="426"/>
        <w:rPr>
          <w:rFonts w:cstheme="minorHAnsi"/>
          <w:sz w:val="24"/>
          <w:szCs w:val="24"/>
        </w:rPr>
      </w:pPr>
      <w:r w:rsidRPr="00330D7A">
        <w:rPr>
          <w:rFonts w:cstheme="minorHAnsi"/>
          <w:sz w:val="24"/>
          <w:szCs w:val="24"/>
        </w:rPr>
        <w:t>Yüz yüze eğitime kıyasla çok daha sınırlı olan uzaktan eğitimde ve canlı derslerde, örgün eğitimde</w:t>
      </w:r>
      <w:r>
        <w:rPr>
          <w:rFonts w:cstheme="minorHAnsi"/>
          <w:sz w:val="24"/>
          <w:szCs w:val="24"/>
        </w:rPr>
        <w:t xml:space="preserve"> </w:t>
      </w:r>
      <w:r w:rsidRPr="00330D7A">
        <w:rPr>
          <w:rFonts w:cstheme="minorHAnsi"/>
          <w:sz w:val="24"/>
          <w:szCs w:val="24"/>
        </w:rPr>
        <w:t xml:space="preserve">uygulanan müfredatın </w:t>
      </w:r>
      <w:r>
        <w:rPr>
          <w:rFonts w:cstheme="minorHAnsi"/>
          <w:sz w:val="24"/>
          <w:szCs w:val="24"/>
        </w:rPr>
        <w:t xml:space="preserve">bire bir </w:t>
      </w:r>
      <w:r w:rsidRPr="00330D7A">
        <w:rPr>
          <w:rFonts w:cstheme="minorHAnsi"/>
          <w:sz w:val="24"/>
          <w:szCs w:val="24"/>
        </w:rPr>
        <w:t>aynısı</w:t>
      </w:r>
      <w:r w:rsidR="00D7503B">
        <w:rPr>
          <w:rFonts w:cstheme="minorHAnsi"/>
          <w:sz w:val="24"/>
          <w:szCs w:val="24"/>
        </w:rPr>
        <w:t>nın verilmesinde neden ısrar edildiğini anlamak mümkün değildir. Eğitim m</w:t>
      </w:r>
      <w:r w:rsidRPr="00330D7A">
        <w:rPr>
          <w:rFonts w:cstheme="minorHAnsi"/>
          <w:sz w:val="24"/>
          <w:szCs w:val="24"/>
        </w:rPr>
        <w:t>üfredat</w:t>
      </w:r>
      <w:r w:rsidR="00D7503B">
        <w:rPr>
          <w:rFonts w:cstheme="minorHAnsi"/>
          <w:sz w:val="24"/>
          <w:szCs w:val="24"/>
        </w:rPr>
        <w:t>ınd</w:t>
      </w:r>
      <w:r w:rsidRPr="00330D7A">
        <w:rPr>
          <w:rFonts w:cstheme="minorHAnsi"/>
          <w:sz w:val="24"/>
          <w:szCs w:val="24"/>
        </w:rPr>
        <w:t xml:space="preserve">a </w:t>
      </w:r>
      <w:r>
        <w:rPr>
          <w:rFonts w:cstheme="minorHAnsi"/>
          <w:sz w:val="24"/>
          <w:szCs w:val="24"/>
        </w:rPr>
        <w:t xml:space="preserve">herhangi </w:t>
      </w:r>
      <w:r w:rsidRPr="00330D7A">
        <w:rPr>
          <w:rFonts w:cstheme="minorHAnsi"/>
          <w:sz w:val="24"/>
          <w:szCs w:val="24"/>
        </w:rPr>
        <w:t>bir seyreltme ve azaltma yoluna</w:t>
      </w:r>
      <w:r>
        <w:rPr>
          <w:rFonts w:cstheme="minorHAnsi"/>
          <w:sz w:val="24"/>
          <w:szCs w:val="24"/>
        </w:rPr>
        <w:t xml:space="preserve"> </w:t>
      </w:r>
      <w:r w:rsidRPr="00330D7A">
        <w:rPr>
          <w:rFonts w:cstheme="minorHAnsi"/>
          <w:sz w:val="24"/>
          <w:szCs w:val="24"/>
        </w:rPr>
        <w:t>gidilmemiş</w:t>
      </w:r>
      <w:r w:rsidR="00D7503B">
        <w:rPr>
          <w:rFonts w:cstheme="minorHAnsi"/>
          <w:sz w:val="24"/>
          <w:szCs w:val="24"/>
        </w:rPr>
        <w:t xml:space="preserve">, yüz yüze eğitime göre hazırlanan müfredatın sınırlı süre içinde </w:t>
      </w:r>
      <w:r w:rsidRPr="00330D7A">
        <w:rPr>
          <w:rFonts w:cstheme="minorHAnsi"/>
          <w:sz w:val="24"/>
          <w:szCs w:val="24"/>
        </w:rPr>
        <w:t>verilmesi</w:t>
      </w:r>
      <w:r>
        <w:rPr>
          <w:rFonts w:cstheme="minorHAnsi"/>
          <w:sz w:val="24"/>
          <w:szCs w:val="24"/>
        </w:rPr>
        <w:t xml:space="preserve"> </w:t>
      </w:r>
      <w:r w:rsidRPr="00330D7A">
        <w:rPr>
          <w:rFonts w:cstheme="minorHAnsi"/>
          <w:sz w:val="24"/>
          <w:szCs w:val="24"/>
        </w:rPr>
        <w:t>mümkün olmamıştır. Müfredatla paralel olarak ders kitapları da uzaktan eğitime uygun</w:t>
      </w:r>
      <w:r>
        <w:rPr>
          <w:rFonts w:cstheme="minorHAnsi"/>
          <w:sz w:val="24"/>
          <w:szCs w:val="24"/>
        </w:rPr>
        <w:t xml:space="preserve"> </w:t>
      </w:r>
      <w:r w:rsidRPr="00330D7A">
        <w:rPr>
          <w:rFonts w:cstheme="minorHAnsi"/>
          <w:sz w:val="24"/>
          <w:szCs w:val="24"/>
        </w:rPr>
        <w:t xml:space="preserve">olmadığından canlı derslerde normal ders kitaplarının kullanılması </w:t>
      </w:r>
      <w:r>
        <w:rPr>
          <w:rFonts w:cstheme="minorHAnsi"/>
          <w:sz w:val="24"/>
          <w:szCs w:val="24"/>
        </w:rPr>
        <w:t xml:space="preserve">ciddi </w:t>
      </w:r>
      <w:r w:rsidRPr="00330D7A">
        <w:rPr>
          <w:rFonts w:cstheme="minorHAnsi"/>
          <w:sz w:val="24"/>
          <w:szCs w:val="24"/>
        </w:rPr>
        <w:t>sorun</w:t>
      </w:r>
      <w:r>
        <w:rPr>
          <w:rFonts w:cstheme="minorHAnsi"/>
          <w:sz w:val="24"/>
          <w:szCs w:val="24"/>
        </w:rPr>
        <w:t xml:space="preserve">ları beraberinde getirmiştir. </w:t>
      </w:r>
      <w:r w:rsidRPr="00330D7A">
        <w:rPr>
          <w:rFonts w:cstheme="minorHAnsi"/>
          <w:sz w:val="24"/>
          <w:szCs w:val="24"/>
        </w:rPr>
        <w:t>Etkileşimli</w:t>
      </w:r>
      <w:r>
        <w:rPr>
          <w:rFonts w:cstheme="minorHAnsi"/>
          <w:sz w:val="24"/>
          <w:szCs w:val="24"/>
        </w:rPr>
        <w:t xml:space="preserve"> </w:t>
      </w:r>
      <w:r w:rsidRPr="00330D7A">
        <w:rPr>
          <w:rFonts w:cstheme="minorHAnsi"/>
          <w:sz w:val="24"/>
          <w:szCs w:val="24"/>
        </w:rPr>
        <w:t>kitapların yokluğu, uzaktan eğitime uygun basılı ve dijital materyalin yetersizliği gibi sorunlar</w:t>
      </w:r>
      <w:r>
        <w:rPr>
          <w:rFonts w:cstheme="minorHAnsi"/>
          <w:sz w:val="24"/>
          <w:szCs w:val="24"/>
        </w:rPr>
        <w:t xml:space="preserve"> </w:t>
      </w:r>
      <w:r w:rsidRPr="00330D7A">
        <w:rPr>
          <w:rFonts w:cstheme="minorHAnsi"/>
          <w:sz w:val="24"/>
          <w:szCs w:val="24"/>
        </w:rPr>
        <w:t>süreci daha da zorlaştıran etkenler olm</w:t>
      </w:r>
      <w:r>
        <w:rPr>
          <w:rFonts w:cstheme="minorHAnsi"/>
          <w:sz w:val="24"/>
          <w:szCs w:val="24"/>
        </w:rPr>
        <w:t>ayı sürdürm</w:t>
      </w:r>
      <w:r w:rsidR="00D7503B">
        <w:rPr>
          <w:rFonts w:cstheme="minorHAnsi"/>
          <w:sz w:val="24"/>
          <w:szCs w:val="24"/>
        </w:rPr>
        <w:t xml:space="preserve">üştür. </w:t>
      </w:r>
      <w:r>
        <w:rPr>
          <w:rFonts w:cstheme="minorHAnsi"/>
          <w:sz w:val="24"/>
          <w:szCs w:val="24"/>
        </w:rPr>
        <w:t xml:space="preserve"> </w:t>
      </w:r>
    </w:p>
    <w:p w:rsidR="005B0180" w:rsidRDefault="00CC733A" w:rsidP="005B0180">
      <w:pPr>
        <w:ind w:firstLine="426"/>
        <w:rPr>
          <w:rFonts w:cstheme="minorHAnsi"/>
          <w:sz w:val="24"/>
          <w:szCs w:val="24"/>
        </w:rPr>
      </w:pPr>
      <w:r w:rsidRPr="00330D7A">
        <w:rPr>
          <w:rFonts w:cstheme="minorHAnsi"/>
          <w:sz w:val="24"/>
          <w:szCs w:val="24"/>
        </w:rPr>
        <w:t>Gerek canlı derslerin planlamasında, gerekse EBA TV yayınlarında çocukların sosyal-toplumsal</w:t>
      </w:r>
      <w:r>
        <w:rPr>
          <w:rFonts w:cstheme="minorHAnsi"/>
          <w:sz w:val="24"/>
          <w:szCs w:val="24"/>
        </w:rPr>
        <w:t xml:space="preserve"> </w:t>
      </w:r>
      <w:r w:rsidRPr="00330D7A">
        <w:rPr>
          <w:rFonts w:cstheme="minorHAnsi"/>
          <w:sz w:val="24"/>
          <w:szCs w:val="24"/>
        </w:rPr>
        <w:t>gelişimine, bireysel ilgi ve yeteneklerine yönelik çalışma</w:t>
      </w:r>
      <w:r>
        <w:rPr>
          <w:rFonts w:cstheme="minorHAnsi"/>
          <w:sz w:val="24"/>
          <w:szCs w:val="24"/>
        </w:rPr>
        <w:t xml:space="preserve">lara yeterince </w:t>
      </w:r>
      <w:r w:rsidRPr="00330D7A">
        <w:rPr>
          <w:rFonts w:cstheme="minorHAnsi"/>
          <w:sz w:val="24"/>
          <w:szCs w:val="24"/>
        </w:rPr>
        <w:t>yer verilmemiştir. Spor, sanat,</w:t>
      </w:r>
      <w:r>
        <w:rPr>
          <w:rFonts w:cstheme="minorHAnsi"/>
          <w:sz w:val="24"/>
          <w:szCs w:val="24"/>
        </w:rPr>
        <w:t xml:space="preserve"> </w:t>
      </w:r>
      <w:r w:rsidRPr="00330D7A">
        <w:rPr>
          <w:rFonts w:cstheme="minorHAnsi"/>
          <w:sz w:val="24"/>
          <w:szCs w:val="24"/>
        </w:rPr>
        <w:t>müzik</w:t>
      </w:r>
      <w:r w:rsidR="00D7503B">
        <w:rPr>
          <w:rFonts w:cstheme="minorHAnsi"/>
          <w:sz w:val="24"/>
          <w:szCs w:val="24"/>
        </w:rPr>
        <w:t xml:space="preserve"> ve beden </w:t>
      </w:r>
      <w:r w:rsidRPr="00330D7A">
        <w:rPr>
          <w:rFonts w:cstheme="minorHAnsi"/>
          <w:sz w:val="24"/>
          <w:szCs w:val="24"/>
        </w:rPr>
        <w:t>dersleri yok sayılmıştır. Okuldan uzak kalan öğrencilerin sosyalleşme ihtiyaçlarını karşılamaya</w:t>
      </w:r>
      <w:r>
        <w:rPr>
          <w:rFonts w:cstheme="minorHAnsi"/>
          <w:sz w:val="24"/>
          <w:szCs w:val="24"/>
        </w:rPr>
        <w:t xml:space="preserve"> </w:t>
      </w:r>
      <w:r w:rsidRPr="00330D7A">
        <w:rPr>
          <w:rFonts w:cstheme="minorHAnsi"/>
          <w:sz w:val="24"/>
          <w:szCs w:val="24"/>
        </w:rPr>
        <w:t xml:space="preserve">yönelik çalışmaların </w:t>
      </w:r>
      <w:r w:rsidR="00D7503B">
        <w:rPr>
          <w:rFonts w:cstheme="minorHAnsi"/>
          <w:sz w:val="24"/>
          <w:szCs w:val="24"/>
        </w:rPr>
        <w:t xml:space="preserve">yetersizliği, </w:t>
      </w:r>
      <w:r w:rsidRPr="00330D7A">
        <w:rPr>
          <w:rFonts w:cstheme="minorHAnsi"/>
          <w:sz w:val="24"/>
          <w:szCs w:val="24"/>
        </w:rPr>
        <w:t>pedagog desteği sağlanmaması</w:t>
      </w:r>
      <w:r w:rsidR="00D7503B">
        <w:rPr>
          <w:rFonts w:cstheme="minorHAnsi"/>
          <w:sz w:val="24"/>
          <w:szCs w:val="24"/>
        </w:rPr>
        <w:t xml:space="preserve">, gelişim çağındaki </w:t>
      </w:r>
      <w:r w:rsidRPr="00330D7A">
        <w:rPr>
          <w:rFonts w:cstheme="minorHAnsi"/>
          <w:sz w:val="24"/>
          <w:szCs w:val="24"/>
        </w:rPr>
        <w:t>çocukların bu süreçte telafisi</w:t>
      </w:r>
      <w:r>
        <w:rPr>
          <w:rFonts w:cstheme="minorHAnsi"/>
          <w:sz w:val="24"/>
          <w:szCs w:val="24"/>
        </w:rPr>
        <w:t xml:space="preserve"> </w:t>
      </w:r>
      <w:r w:rsidRPr="00330D7A">
        <w:rPr>
          <w:rFonts w:cstheme="minorHAnsi"/>
          <w:sz w:val="24"/>
          <w:szCs w:val="24"/>
        </w:rPr>
        <w:t>imkânsız zararlar görmesine neden olmuştur.</w:t>
      </w:r>
    </w:p>
    <w:p w:rsidR="005B0180" w:rsidRDefault="00C96F1D" w:rsidP="005B0180">
      <w:pPr>
        <w:ind w:firstLine="426"/>
        <w:rPr>
          <w:rFonts w:cstheme="minorHAnsi"/>
          <w:sz w:val="24"/>
        </w:rPr>
      </w:pPr>
      <w:r w:rsidRPr="005B0180">
        <w:rPr>
          <w:rFonts w:cstheme="minorHAnsi"/>
          <w:sz w:val="24"/>
        </w:rPr>
        <w:t>Eğitim Sen,</w:t>
      </w:r>
      <w:r w:rsidR="00FE3087">
        <w:rPr>
          <w:rFonts w:cstheme="minorHAnsi"/>
          <w:sz w:val="24"/>
        </w:rPr>
        <w:t xml:space="preserve"> uzaktan eğitimi</w:t>
      </w:r>
      <w:r w:rsidRPr="005B0180">
        <w:rPr>
          <w:rFonts w:cstheme="minorHAnsi"/>
          <w:sz w:val="24"/>
        </w:rPr>
        <w:t xml:space="preserve"> kriz dönemlerinin “acil uzaktan eğitimi” olarak geçici ve görece destekleyici bir öğretim yaklaşımı olarak </w:t>
      </w:r>
      <w:r w:rsidR="00FE3087">
        <w:rPr>
          <w:rFonts w:cstheme="minorHAnsi"/>
          <w:sz w:val="24"/>
        </w:rPr>
        <w:t xml:space="preserve">görmekte ve değerlendirmektedir. </w:t>
      </w:r>
      <w:r w:rsidRPr="005B0180">
        <w:rPr>
          <w:rFonts w:cstheme="minorHAnsi"/>
          <w:sz w:val="24"/>
        </w:rPr>
        <w:t xml:space="preserve">Sendikamızın eğitime </w:t>
      </w:r>
      <w:r w:rsidRPr="005B0180">
        <w:rPr>
          <w:rFonts w:cstheme="minorHAnsi"/>
          <w:sz w:val="24"/>
        </w:rPr>
        <w:lastRenderedPageBreak/>
        <w:t xml:space="preserve">dair temel yaklaşımı “yüz yüze eğitimin esas olduğu”, acil uzaktan eğitimin ise kriz durumlarında, acil durumlarda öğrencileri uzaktan destekleyecek ve güçlendirecek bir öğretim yaklaşımı olduğu yönündedir. </w:t>
      </w:r>
      <w:r w:rsidR="005B0180">
        <w:rPr>
          <w:rFonts w:cstheme="minorHAnsi"/>
          <w:sz w:val="24"/>
        </w:rPr>
        <w:t>2020-2021 eğitim öğretim yılı boyunca yaptığımız çalışmalar ve a</w:t>
      </w:r>
      <w:r w:rsidRPr="005B0180">
        <w:rPr>
          <w:rFonts w:cstheme="minorHAnsi"/>
          <w:sz w:val="24"/>
        </w:rPr>
        <w:t xml:space="preserve">raştırmamızın bulguları </w:t>
      </w:r>
      <w:r w:rsidR="005B0180">
        <w:rPr>
          <w:rFonts w:cstheme="minorHAnsi"/>
          <w:sz w:val="24"/>
        </w:rPr>
        <w:t>da bu görüşü</w:t>
      </w:r>
      <w:r w:rsidR="00FE3087">
        <w:rPr>
          <w:rFonts w:cstheme="minorHAnsi"/>
          <w:sz w:val="24"/>
        </w:rPr>
        <w:t>müzü</w:t>
      </w:r>
      <w:r w:rsidR="005B0180">
        <w:rPr>
          <w:rFonts w:cstheme="minorHAnsi"/>
          <w:sz w:val="24"/>
        </w:rPr>
        <w:t xml:space="preserve"> desteklemektedir. </w:t>
      </w:r>
    </w:p>
    <w:p w:rsidR="00D95744" w:rsidRDefault="005B0180" w:rsidP="00D95744">
      <w:pPr>
        <w:ind w:firstLine="426"/>
        <w:rPr>
          <w:rFonts w:cstheme="minorHAnsi"/>
          <w:sz w:val="24"/>
          <w:szCs w:val="24"/>
        </w:rPr>
      </w:pPr>
      <w:r w:rsidRPr="00D95744">
        <w:rPr>
          <w:rFonts w:cstheme="minorHAnsi"/>
          <w:sz w:val="24"/>
          <w:szCs w:val="24"/>
        </w:rPr>
        <w:t xml:space="preserve">2020-2021 eğitim öğretim yılının ikinci yarısında eğitim kademelerine göre yaptığımız </w:t>
      </w:r>
      <w:r w:rsidR="00D95744" w:rsidRPr="00D95744">
        <w:rPr>
          <w:rFonts w:cstheme="minorHAnsi"/>
          <w:sz w:val="24"/>
          <w:szCs w:val="24"/>
        </w:rPr>
        <w:t xml:space="preserve">ve kamuoyu ile ayrıntılarını paylaştığımız </w:t>
      </w:r>
      <w:r w:rsidRPr="00D95744">
        <w:rPr>
          <w:rFonts w:cstheme="minorHAnsi"/>
          <w:sz w:val="24"/>
          <w:szCs w:val="24"/>
        </w:rPr>
        <w:t>bütün a</w:t>
      </w:r>
      <w:r w:rsidR="00C96F1D" w:rsidRPr="00D95744">
        <w:rPr>
          <w:rFonts w:cstheme="minorHAnsi"/>
          <w:sz w:val="24"/>
          <w:szCs w:val="24"/>
        </w:rPr>
        <w:t>raştırma</w:t>
      </w:r>
      <w:r w:rsidRPr="00D95744">
        <w:rPr>
          <w:rFonts w:cstheme="minorHAnsi"/>
          <w:sz w:val="24"/>
          <w:szCs w:val="24"/>
        </w:rPr>
        <w:t xml:space="preserve">lar, </w:t>
      </w:r>
      <w:r w:rsidR="00C96F1D" w:rsidRPr="00D95744">
        <w:rPr>
          <w:rFonts w:cstheme="minorHAnsi"/>
          <w:sz w:val="24"/>
          <w:szCs w:val="24"/>
        </w:rPr>
        <w:t>Türkiye’de ilköğretim ve ortaöğretim düzeyinde</w:t>
      </w:r>
      <w:r w:rsidR="00197A86">
        <w:rPr>
          <w:rFonts w:cstheme="minorHAnsi"/>
          <w:sz w:val="24"/>
          <w:szCs w:val="24"/>
        </w:rPr>
        <w:t>ki</w:t>
      </w:r>
      <w:r w:rsidR="00C96F1D" w:rsidRPr="00D95744">
        <w:rPr>
          <w:rFonts w:cstheme="minorHAnsi"/>
          <w:sz w:val="24"/>
          <w:szCs w:val="24"/>
        </w:rPr>
        <w:t xml:space="preserve"> uzaktan eğitimin yeterli ve etkili biçimde sürdürülemediğini, öğretmenlerin uzaktan eğitime ilişkin yargılarının oldukça olumsuz olduğunu </w:t>
      </w:r>
      <w:r w:rsidR="00D95744" w:rsidRPr="00D95744">
        <w:rPr>
          <w:rFonts w:cstheme="minorHAnsi"/>
          <w:sz w:val="24"/>
          <w:szCs w:val="24"/>
        </w:rPr>
        <w:t xml:space="preserve">göstermiştir. </w:t>
      </w:r>
      <w:r w:rsidR="00C96F1D" w:rsidRPr="00D95744">
        <w:rPr>
          <w:rFonts w:cstheme="minorHAnsi"/>
          <w:sz w:val="24"/>
          <w:szCs w:val="24"/>
        </w:rPr>
        <w:t xml:space="preserve">Uzaktan eğitimin koşulları oluşturulamamış ve ‘eğitim süreci devam ediyormuş algısı’ yaratılmıştır. Öğrencilerin çevrimiçi derslere katılımının düşüklüğü bu yargıyı büyük ölçüde desteklemiştir. </w:t>
      </w:r>
    </w:p>
    <w:p w:rsidR="00D95744" w:rsidRDefault="00D95744" w:rsidP="00D95744">
      <w:pPr>
        <w:ind w:firstLine="426"/>
        <w:rPr>
          <w:rFonts w:cstheme="minorHAnsi"/>
          <w:sz w:val="24"/>
        </w:rPr>
      </w:pPr>
      <w:r w:rsidRPr="00D95744">
        <w:rPr>
          <w:rFonts w:cstheme="minorHAnsi"/>
          <w:sz w:val="24"/>
        </w:rPr>
        <w:t>E</w:t>
      </w:r>
      <w:r w:rsidR="00C96F1D" w:rsidRPr="00D95744">
        <w:rPr>
          <w:rFonts w:cstheme="minorHAnsi"/>
          <w:sz w:val="24"/>
        </w:rPr>
        <w:t>ğitimde bütçe olanaklarının asıl olarak yüz yüze eğitime yönlendirilmesi son derecede önemlidir. Bununla birlikte salgının bulaş hızının arttığı dönemlerde</w:t>
      </w:r>
      <w:r w:rsidR="00197A86">
        <w:rPr>
          <w:rFonts w:cstheme="minorHAnsi"/>
          <w:sz w:val="24"/>
        </w:rPr>
        <w:t>,</w:t>
      </w:r>
      <w:r w:rsidR="00C96F1D" w:rsidRPr="00D95744">
        <w:rPr>
          <w:rFonts w:cstheme="minorHAnsi"/>
          <w:sz w:val="24"/>
        </w:rPr>
        <w:t xml:space="preserve"> uzaktan eğitime katılamayan dört milyon civarında çağ nüfusunun belirlenerek</w:t>
      </w:r>
      <w:r w:rsidR="00197A86">
        <w:rPr>
          <w:rFonts w:cstheme="minorHAnsi"/>
          <w:sz w:val="24"/>
        </w:rPr>
        <w:t>,</w:t>
      </w:r>
      <w:r w:rsidR="00C96F1D" w:rsidRPr="00D95744">
        <w:rPr>
          <w:rFonts w:cstheme="minorHAnsi"/>
          <w:sz w:val="24"/>
        </w:rPr>
        <w:t xml:space="preserve"> uzaktan eğitimleri için evlerde eğitim teknolojisi alt yapısının koşulları oluşturulmalıdır. Yoksulluğun çok katmanlı yaşandığı bu dönemde zorunlu eğitim çağındaki en kırılgan öğrenci kesimlerinin belirlenmesi ve desteklenmesi </w:t>
      </w:r>
      <w:r w:rsidRPr="00D95744">
        <w:rPr>
          <w:rFonts w:cstheme="minorHAnsi"/>
          <w:sz w:val="24"/>
        </w:rPr>
        <w:t xml:space="preserve">gerekmektedir. </w:t>
      </w:r>
      <w:r w:rsidR="00694A20">
        <w:rPr>
          <w:rFonts w:cstheme="minorHAnsi"/>
          <w:sz w:val="24"/>
        </w:rPr>
        <w:t>B</w:t>
      </w:r>
      <w:r w:rsidR="00C96F1D" w:rsidRPr="00D95744">
        <w:rPr>
          <w:rFonts w:cstheme="minorHAnsi"/>
          <w:sz w:val="24"/>
        </w:rPr>
        <w:t xml:space="preserve">u kesimler, derin yoksulluk içinde bulunan evlerdeki çocuklar, evlerde toplumsal cinsiyet rollerine yönlendirilen kız çocukları, anadili farklı olan çocuklar, çalıştırılan çocuklar, mevsimlik işçilerin çocukları, göçmen çocuklar ve özellikle özel </w:t>
      </w:r>
      <w:proofErr w:type="spellStart"/>
      <w:r w:rsidR="00C96F1D" w:rsidRPr="00D95744">
        <w:rPr>
          <w:rFonts w:cstheme="minorHAnsi"/>
          <w:sz w:val="24"/>
        </w:rPr>
        <w:t>gereksinimli</w:t>
      </w:r>
      <w:proofErr w:type="spellEnd"/>
      <w:r w:rsidR="00C96F1D" w:rsidRPr="00D95744">
        <w:rPr>
          <w:rFonts w:cstheme="minorHAnsi"/>
          <w:sz w:val="24"/>
        </w:rPr>
        <w:t xml:space="preserve"> çocuklardır. </w:t>
      </w:r>
      <w:proofErr w:type="spellStart"/>
      <w:r w:rsidR="00C96F1D" w:rsidRPr="00D95744">
        <w:rPr>
          <w:rFonts w:cstheme="minorHAnsi"/>
          <w:sz w:val="24"/>
        </w:rPr>
        <w:t>Pandemi</w:t>
      </w:r>
      <w:proofErr w:type="spellEnd"/>
      <w:r w:rsidR="00C96F1D" w:rsidRPr="00D95744">
        <w:rPr>
          <w:rFonts w:cstheme="minorHAnsi"/>
          <w:sz w:val="24"/>
        </w:rPr>
        <w:t xml:space="preserve"> gibi kriz anlarında bu çocuklara uygun güçlendirici eğitim politikalarının geliştirilmesi son derece önemlidir. </w:t>
      </w:r>
    </w:p>
    <w:p w:rsidR="00804DA2" w:rsidRDefault="00804DA2" w:rsidP="00D95744">
      <w:pPr>
        <w:ind w:firstLine="426"/>
        <w:rPr>
          <w:rFonts w:cstheme="minorHAnsi"/>
          <w:color w:val="000000" w:themeColor="text1"/>
          <w:sz w:val="24"/>
          <w:szCs w:val="21"/>
          <w:shd w:val="clear" w:color="auto" w:fill="FFFFFF"/>
        </w:rPr>
      </w:pPr>
      <w:r w:rsidRPr="00B84F77">
        <w:rPr>
          <w:rFonts w:cstheme="minorHAnsi"/>
          <w:color w:val="000000" w:themeColor="text1"/>
          <w:sz w:val="24"/>
          <w:szCs w:val="21"/>
        </w:rPr>
        <w:t>Uzaktan öğretme sürecinde ortaya çıkan kayıplar her öğrencide farklı düzeyde yaşanmıştır. Yoksul ailelerimizin çocuklarında, mülteci çocuklarda, anadili farklı olan çocuklarımızda, özel eğitime ihtiyaç duyan çocuklarımızda öğrenme ve beceri kayıpları çok daha yüksektir. Her bölge, il ve ekonomik düzeye göre, tüm okullarda ayrı ayrı çalışma ekipleriyle bu kayıpların düzeyinin tespit edilmesi ve bilimsel veriler ışığında kapsamlı, uzun vadeli bir telafi programının hazırlanması gerek</w:t>
      </w:r>
      <w:r w:rsidR="00D95744">
        <w:rPr>
          <w:rFonts w:cstheme="minorHAnsi"/>
          <w:color w:val="000000" w:themeColor="text1"/>
          <w:sz w:val="24"/>
          <w:szCs w:val="21"/>
        </w:rPr>
        <w:t xml:space="preserve">mektedir. </w:t>
      </w:r>
    </w:p>
    <w:p w:rsidR="00A37E20" w:rsidRDefault="00A37E20" w:rsidP="00A37E20">
      <w:pPr>
        <w:rPr>
          <w:sz w:val="24"/>
        </w:rPr>
      </w:pPr>
    </w:p>
    <w:p w:rsidR="003701EE" w:rsidRDefault="007519FB" w:rsidP="00A37E20">
      <w:pPr>
        <w:rPr>
          <w:b/>
          <w:sz w:val="24"/>
        </w:rPr>
      </w:pPr>
      <w:r>
        <w:rPr>
          <w:b/>
          <w:sz w:val="24"/>
        </w:rPr>
        <w:t xml:space="preserve"> </w:t>
      </w:r>
      <w:r w:rsidR="003701EE">
        <w:rPr>
          <w:b/>
          <w:sz w:val="24"/>
        </w:rPr>
        <w:t>‘</w:t>
      </w:r>
      <w:r w:rsidR="003701EE" w:rsidRPr="00A37E20">
        <w:rPr>
          <w:b/>
          <w:sz w:val="24"/>
        </w:rPr>
        <w:t>UZAKTAN EĞİTİM</w:t>
      </w:r>
      <w:r w:rsidR="003701EE">
        <w:rPr>
          <w:b/>
          <w:sz w:val="24"/>
        </w:rPr>
        <w:t>’</w:t>
      </w:r>
      <w:r>
        <w:rPr>
          <w:b/>
          <w:sz w:val="24"/>
        </w:rPr>
        <w:t xml:space="preserve"> SÜRECİ</w:t>
      </w:r>
      <w:r w:rsidR="00D95744">
        <w:rPr>
          <w:b/>
          <w:sz w:val="24"/>
        </w:rPr>
        <w:t xml:space="preserve">NDE </w:t>
      </w:r>
      <w:r w:rsidR="00047D84">
        <w:rPr>
          <w:b/>
          <w:sz w:val="24"/>
        </w:rPr>
        <w:t>EĞİTİM EMEKÇİLERİNİN YAŞADIĞI SORUNLAR</w:t>
      </w:r>
      <w:r>
        <w:rPr>
          <w:b/>
          <w:sz w:val="24"/>
        </w:rPr>
        <w:t xml:space="preserve"> </w:t>
      </w:r>
    </w:p>
    <w:p w:rsidR="00047D84" w:rsidRDefault="00047D84" w:rsidP="00A37E20">
      <w:pPr>
        <w:rPr>
          <w:b/>
          <w:sz w:val="24"/>
        </w:rPr>
      </w:pPr>
    </w:p>
    <w:p w:rsidR="000323C4" w:rsidRPr="000323C4" w:rsidRDefault="000323C4" w:rsidP="000323C4">
      <w:pPr>
        <w:pStyle w:val="NormalWeb"/>
        <w:shd w:val="clear" w:color="auto" w:fill="FFFFFF"/>
        <w:spacing w:before="0" w:beforeAutospacing="0" w:after="0" w:afterAutospacing="0"/>
        <w:ind w:firstLine="426"/>
        <w:jc w:val="both"/>
        <w:rPr>
          <w:rFonts w:asciiTheme="minorHAnsi" w:hAnsiTheme="minorHAnsi" w:cstheme="minorHAnsi"/>
        </w:rPr>
      </w:pPr>
      <w:proofErr w:type="spellStart"/>
      <w:r w:rsidRPr="000323C4">
        <w:rPr>
          <w:rFonts w:asciiTheme="minorHAnsi" w:hAnsiTheme="minorHAnsi" w:cstheme="minorHAnsi"/>
        </w:rPr>
        <w:t>Pandeminin</w:t>
      </w:r>
      <w:proofErr w:type="spellEnd"/>
      <w:r w:rsidRPr="000323C4">
        <w:rPr>
          <w:rFonts w:asciiTheme="minorHAnsi" w:hAnsiTheme="minorHAnsi" w:cstheme="minorHAnsi"/>
        </w:rPr>
        <w:t xml:space="preserve"> başlangıcından bu yana geçen sürede  AKP ve MEB alınması gereken tedbirler konusunda eğitim emekçilerinin ve eğitim bileşenlerinin talep ve önerilerine kulaklarını tıkamıştır.</w:t>
      </w:r>
      <w:r>
        <w:rPr>
          <w:rFonts w:ascii="Arial" w:hAnsi="Arial" w:cs="Arial"/>
          <w:color w:val="333333"/>
          <w:sz w:val="26"/>
          <w:szCs w:val="26"/>
          <w:shd w:val="clear" w:color="auto" w:fill="FFFFFF"/>
        </w:rPr>
        <w:t xml:space="preserve"> </w:t>
      </w:r>
      <w:r w:rsidR="00161400" w:rsidRPr="00161400">
        <w:rPr>
          <w:rFonts w:asciiTheme="minorHAnsi" w:hAnsiTheme="minorHAnsi" w:cstheme="minorHAnsi"/>
        </w:rPr>
        <w:t>Okullarda görev yapan tüm çalışanlar</w:t>
      </w:r>
      <w:r w:rsidR="00161400">
        <w:rPr>
          <w:rFonts w:asciiTheme="minorHAnsi" w:hAnsiTheme="minorHAnsi" w:cstheme="minorHAnsi"/>
        </w:rPr>
        <w:t xml:space="preserve">ın </w:t>
      </w:r>
      <w:r w:rsidR="00161400" w:rsidRPr="00161400">
        <w:rPr>
          <w:rFonts w:asciiTheme="minorHAnsi" w:hAnsiTheme="minorHAnsi" w:cstheme="minorHAnsi"/>
        </w:rPr>
        <w:t>risk altında</w:t>
      </w:r>
      <w:r w:rsidR="00161400">
        <w:rPr>
          <w:rFonts w:asciiTheme="minorHAnsi" w:hAnsiTheme="minorHAnsi" w:cstheme="minorHAnsi"/>
        </w:rPr>
        <w:t xml:space="preserve"> olduğu, b</w:t>
      </w:r>
      <w:r w:rsidR="00161400" w:rsidRPr="00161400">
        <w:rPr>
          <w:rFonts w:asciiTheme="minorHAnsi" w:hAnsiTheme="minorHAnsi" w:cstheme="minorHAnsi"/>
        </w:rPr>
        <w:t xml:space="preserve">u nedenle kadrolu, sözleşmeli, </w:t>
      </w:r>
      <w:r w:rsidR="00161400">
        <w:rPr>
          <w:rFonts w:asciiTheme="minorHAnsi" w:hAnsiTheme="minorHAnsi" w:cstheme="minorHAnsi"/>
        </w:rPr>
        <w:t xml:space="preserve">ücretli </w:t>
      </w:r>
      <w:r w:rsidR="00161400" w:rsidRPr="00161400">
        <w:rPr>
          <w:rFonts w:asciiTheme="minorHAnsi" w:hAnsiTheme="minorHAnsi" w:cstheme="minorHAnsi"/>
        </w:rPr>
        <w:t>öğretmen, memur, hizmetli ayrımı olmaksızın tüm eğitim camiasının derhal aşılama çalışmasına başlanma</w:t>
      </w:r>
      <w:r w:rsidR="00161400">
        <w:rPr>
          <w:rFonts w:asciiTheme="minorHAnsi" w:hAnsiTheme="minorHAnsi" w:cstheme="minorHAnsi"/>
        </w:rPr>
        <w:t xml:space="preserve">sı yönündeki çağrılarımız karşılık bulmamış, </w:t>
      </w:r>
      <w:r w:rsidR="00161400" w:rsidRPr="00161400">
        <w:rPr>
          <w:rFonts w:asciiTheme="minorHAnsi" w:hAnsiTheme="minorHAnsi" w:cstheme="minorHAnsi"/>
        </w:rPr>
        <w:t>futbolcular</w:t>
      </w:r>
      <w:r w:rsidR="006929B1">
        <w:rPr>
          <w:rFonts w:asciiTheme="minorHAnsi" w:hAnsiTheme="minorHAnsi" w:cstheme="minorHAnsi"/>
        </w:rPr>
        <w:t>ı</w:t>
      </w:r>
      <w:r w:rsidR="00161400" w:rsidRPr="00161400">
        <w:rPr>
          <w:rFonts w:asciiTheme="minorHAnsi" w:hAnsiTheme="minorHAnsi" w:cstheme="minorHAnsi"/>
        </w:rPr>
        <w:t xml:space="preserve">n </w:t>
      </w:r>
      <w:r w:rsidR="00161400">
        <w:rPr>
          <w:rFonts w:asciiTheme="minorHAnsi" w:hAnsiTheme="minorHAnsi" w:cstheme="minorHAnsi"/>
        </w:rPr>
        <w:t xml:space="preserve">ve turizm çalışanlarının aşılanmasına gösterilen özen eğitim emekçilerine gösterilmemiştir. </w:t>
      </w:r>
      <w:r>
        <w:rPr>
          <w:rFonts w:asciiTheme="minorHAnsi" w:hAnsiTheme="minorHAnsi" w:cstheme="minorHAnsi"/>
        </w:rPr>
        <w:t>Bu duyarsızlığın bedelini çok sayıda eğitim ve bilim emekçisi hayatını kaybederek ödemiştir. İ</w:t>
      </w:r>
      <w:r w:rsidRPr="000323C4">
        <w:rPr>
          <w:rFonts w:asciiTheme="minorHAnsi" w:hAnsiTheme="minorHAnsi" w:cstheme="minorHAnsi"/>
        </w:rPr>
        <w:t xml:space="preserve">şçi Sağlığı ve İş Güvenliği </w:t>
      </w:r>
      <w:r w:rsidR="006929B1">
        <w:rPr>
          <w:rFonts w:asciiTheme="minorHAnsi" w:hAnsiTheme="minorHAnsi" w:cstheme="minorHAnsi"/>
        </w:rPr>
        <w:t>(</w:t>
      </w:r>
      <w:r w:rsidRPr="000323C4">
        <w:rPr>
          <w:rFonts w:asciiTheme="minorHAnsi" w:hAnsiTheme="minorHAnsi" w:cstheme="minorHAnsi"/>
        </w:rPr>
        <w:t>İSİG</w:t>
      </w:r>
      <w:r w:rsidR="006929B1">
        <w:rPr>
          <w:rFonts w:asciiTheme="minorHAnsi" w:hAnsiTheme="minorHAnsi" w:cstheme="minorHAnsi"/>
        </w:rPr>
        <w:t>)</w:t>
      </w:r>
      <w:r w:rsidRPr="000323C4">
        <w:rPr>
          <w:rFonts w:asciiTheme="minorHAnsi" w:hAnsiTheme="minorHAnsi" w:cstheme="minorHAnsi"/>
        </w:rPr>
        <w:t xml:space="preserve"> Meclisi, </w:t>
      </w:r>
      <w:proofErr w:type="spellStart"/>
      <w:r w:rsidRPr="000323C4">
        <w:rPr>
          <w:rFonts w:asciiTheme="minorHAnsi" w:hAnsiTheme="minorHAnsi" w:cstheme="minorHAnsi"/>
        </w:rPr>
        <w:t>pandemi</w:t>
      </w:r>
      <w:proofErr w:type="spellEnd"/>
      <w:r w:rsidRPr="000323C4">
        <w:rPr>
          <w:rFonts w:asciiTheme="minorHAnsi" w:hAnsiTheme="minorHAnsi" w:cstheme="minorHAnsi"/>
        </w:rPr>
        <w:t xml:space="preserve"> </w:t>
      </w:r>
      <w:r>
        <w:rPr>
          <w:rFonts w:asciiTheme="minorHAnsi" w:hAnsiTheme="minorHAnsi" w:cstheme="minorHAnsi"/>
        </w:rPr>
        <w:t xml:space="preserve">süresince </w:t>
      </w:r>
      <w:r w:rsidRPr="000323C4">
        <w:rPr>
          <w:rFonts w:asciiTheme="minorHAnsi" w:hAnsiTheme="minorHAnsi" w:cstheme="minorHAnsi"/>
        </w:rPr>
        <w:t xml:space="preserve">en az 157 öğretmen ve idari personelin yaşamını yitirdiğini açıklamıştır. Özellikle eğitim emekçilerinin aşılama sürecinin gecikmesi, çok sayıda meslektaşımızın hayatını kaybetmesine neden olmuştur. </w:t>
      </w:r>
    </w:p>
    <w:p w:rsidR="000323C4" w:rsidRDefault="00047D84" w:rsidP="000323C4">
      <w:pPr>
        <w:pStyle w:val="NormalWeb"/>
        <w:shd w:val="clear" w:color="auto" w:fill="FFFFFF"/>
        <w:spacing w:before="0" w:beforeAutospacing="0" w:after="0" w:afterAutospacing="0"/>
        <w:ind w:firstLine="426"/>
        <w:jc w:val="both"/>
        <w:rPr>
          <w:rFonts w:ascii="Calibri" w:hAnsi="Calibri" w:cs="Calibri"/>
          <w:color w:val="000000"/>
          <w:szCs w:val="21"/>
        </w:rPr>
      </w:pPr>
      <w:r w:rsidRPr="00EE42C1">
        <w:rPr>
          <w:rFonts w:ascii="Calibri" w:hAnsi="Calibri" w:cs="Calibri"/>
          <w:color w:val="000000"/>
          <w:szCs w:val="21"/>
        </w:rPr>
        <w:t xml:space="preserve">Türkiye’de uzaktan eğitim süreci, eğitim ve bilim emekçilerinin emeği ve yoğun çabası eşliğinde hayata geçirilmiştir. Eğitim ve bilim emekçileri, evlerini fiilen okul haline getirmiş, bilgisayar, internet erişimi, öğretim materyalleri gibi araçlar bireysel çabalarla sağlanmış veya satın alınmıştır. Yasalarla tanımlanmış sekiz saatlik çalışma süresi öğrencileri ve velileri desteklemek üzere daha uzun saatlere, akşam saatlerine ve hafta sonlarına kadar uzamıştır. </w:t>
      </w:r>
    </w:p>
    <w:p w:rsidR="00047D84" w:rsidRPr="00EE42C1" w:rsidRDefault="00047D84" w:rsidP="00047D84">
      <w:pPr>
        <w:pStyle w:val="NormalWeb"/>
        <w:shd w:val="clear" w:color="auto" w:fill="FFFFFF"/>
        <w:spacing w:before="0" w:beforeAutospacing="0" w:after="0" w:afterAutospacing="0"/>
        <w:ind w:firstLine="426"/>
        <w:jc w:val="both"/>
        <w:rPr>
          <w:rFonts w:ascii="Calibri" w:hAnsi="Calibri" w:cs="Calibri"/>
          <w:color w:val="000000"/>
          <w:szCs w:val="21"/>
        </w:rPr>
      </w:pPr>
      <w:r w:rsidRPr="00EE42C1">
        <w:rPr>
          <w:rFonts w:ascii="Calibri" w:hAnsi="Calibri" w:cs="Calibri"/>
          <w:color w:val="000000"/>
          <w:szCs w:val="21"/>
        </w:rPr>
        <w:t>Okul çağında çocukları olan eğitim ve bilim emekçileri evde sessiz bir yer bulmak için büyük özverilerde bulunarak çalışmalarını sürdürmüş</w:t>
      </w:r>
      <w:r>
        <w:rPr>
          <w:rFonts w:ascii="Calibri" w:hAnsi="Calibri" w:cs="Calibri"/>
          <w:color w:val="000000"/>
          <w:szCs w:val="21"/>
        </w:rPr>
        <w:t>tür.</w:t>
      </w:r>
      <w:r w:rsidRPr="00EE42C1">
        <w:rPr>
          <w:rFonts w:ascii="Calibri" w:hAnsi="Calibri" w:cs="Calibri"/>
          <w:color w:val="000000"/>
          <w:szCs w:val="21"/>
        </w:rPr>
        <w:t xml:space="preserve"> Bu çabalara karşın, özellikle kadın emekçilerin yoğun ev içi emeği, eğitim alanının genel görünmezliği durumunun uzantısı olarak daha da görünmez kılınmıştır.</w:t>
      </w:r>
    </w:p>
    <w:p w:rsidR="00047D84" w:rsidRDefault="00047D84" w:rsidP="00047D84">
      <w:pPr>
        <w:pStyle w:val="NormalWeb"/>
        <w:shd w:val="clear" w:color="auto" w:fill="FFFFFF"/>
        <w:spacing w:before="0" w:beforeAutospacing="0" w:after="0" w:afterAutospacing="0"/>
        <w:ind w:firstLine="426"/>
        <w:jc w:val="both"/>
        <w:rPr>
          <w:rFonts w:ascii="Calibri" w:hAnsi="Calibri" w:cs="Calibri"/>
        </w:rPr>
      </w:pPr>
      <w:r w:rsidRPr="00EE42C1">
        <w:rPr>
          <w:rFonts w:ascii="Calibri" w:hAnsi="Calibri" w:cs="Calibri"/>
          <w:color w:val="000000"/>
        </w:rPr>
        <w:t xml:space="preserve">Eğitim ve bilim emekçilerinin evdeki emek süreci ve karşılaştığı güçlükler hakkında bir çalışma yapmayan MEB, bu görünmezlik algısıyla öğretmenlere eğitim ve deneyimlerinin dışında kalan işler </w:t>
      </w:r>
      <w:r w:rsidRPr="00EE42C1">
        <w:rPr>
          <w:rFonts w:ascii="Calibri" w:hAnsi="Calibri" w:cs="Calibri"/>
          <w:color w:val="000000"/>
        </w:rPr>
        <w:lastRenderedPageBreak/>
        <w:t xml:space="preserve">vermek gibi uygulamalara girişmiştir. Öğretmenlerimiz hafta içi uzaktan eğitim derslerini gündüz saatlerinde işlemekle birlikte, bir yandan saat 18.00’den sonra ve cumartesi günleri uzaktan eğitim dersleri için yoğun hazırlık ve ders uygulaması yapmak zorunda kalmıştır. </w:t>
      </w:r>
      <w:r w:rsidRPr="00EE42C1">
        <w:rPr>
          <w:rFonts w:ascii="Calibri" w:hAnsi="Calibri" w:cs="Calibri"/>
        </w:rPr>
        <w:t>Gece saatlerine veya hafta sonu günlerine canlı dersler konulmakta, öğretmenlerin kişisel yaşamı ihlal edilmekte, tatil günleri yok sayılmaktadır. Esnek çalışma, kuralsız çalışmaya döndürülmüştür.</w:t>
      </w:r>
    </w:p>
    <w:p w:rsidR="00047D84" w:rsidRPr="005B184E" w:rsidRDefault="00047D84" w:rsidP="00047D84">
      <w:pPr>
        <w:pStyle w:val="NormalWeb"/>
        <w:shd w:val="clear" w:color="auto" w:fill="FFFFFF"/>
        <w:spacing w:before="0" w:beforeAutospacing="0" w:after="0" w:afterAutospacing="0"/>
        <w:ind w:firstLine="426"/>
        <w:jc w:val="both"/>
        <w:rPr>
          <w:rFonts w:ascii="Calibri" w:hAnsi="Calibri" w:cs="Calibri"/>
        </w:rPr>
      </w:pPr>
      <w:r w:rsidRPr="005B184E">
        <w:rPr>
          <w:rFonts w:ascii="Calibri" w:hAnsi="Calibri" w:cs="Calibri"/>
        </w:rPr>
        <w:t>Kamuda evden çalışma, dönüşümlü çalışma, uzaktan çalışma vb</w:t>
      </w:r>
      <w:r>
        <w:rPr>
          <w:rFonts w:ascii="Calibri" w:hAnsi="Calibri" w:cs="Calibri"/>
        </w:rPr>
        <w:t>.</w:t>
      </w:r>
      <w:r w:rsidRPr="005B184E">
        <w:rPr>
          <w:rFonts w:ascii="Calibri" w:hAnsi="Calibri" w:cs="Calibri"/>
        </w:rPr>
        <w:t xml:space="preserve"> gibi uygulamaların başlaması, eğitim ve bilim emekçileri açısından önemli tehditleri de beraberinde getirmiştir.</w:t>
      </w:r>
      <w:r w:rsidR="00694A20">
        <w:rPr>
          <w:rFonts w:ascii="Calibri" w:hAnsi="Calibri" w:cs="Calibri"/>
        </w:rPr>
        <w:t xml:space="preserve"> Eğitim emekçileri</w:t>
      </w:r>
      <w:r w:rsidRPr="005B184E">
        <w:rPr>
          <w:rFonts w:ascii="Calibri" w:hAnsi="Calibri" w:cs="Calibri"/>
        </w:rPr>
        <w:t xml:space="preserve"> </w:t>
      </w:r>
      <w:r w:rsidR="00694A20">
        <w:rPr>
          <w:rFonts w:ascii="Calibri" w:hAnsi="Calibri" w:cs="Calibri"/>
        </w:rPr>
        <w:t>b</w:t>
      </w:r>
      <w:r w:rsidRPr="005B184E">
        <w:rPr>
          <w:rFonts w:ascii="Calibri" w:hAnsi="Calibri" w:cs="Calibri"/>
        </w:rPr>
        <w:t xml:space="preserve">azı illerde </w:t>
      </w:r>
      <w:proofErr w:type="spellStart"/>
      <w:r w:rsidRPr="005B184E">
        <w:rPr>
          <w:rFonts w:ascii="Calibri" w:hAnsi="Calibri" w:cs="Calibri"/>
        </w:rPr>
        <w:t>pandemi</w:t>
      </w:r>
      <w:proofErr w:type="spellEnd"/>
      <w:r w:rsidRPr="005B184E">
        <w:rPr>
          <w:rFonts w:ascii="Calibri" w:hAnsi="Calibri" w:cs="Calibri"/>
        </w:rPr>
        <w:t xml:space="preserve"> gerekçesiyle ‘geçici görevlendirme’ ile zaman zaman polis kontrol noktalarında ateş ölçmek ya da kalabalık yerlerde bilgilendirme broşürleri dağıtmak için görevlendirilmiştir. Farklı illerde,</w:t>
      </w:r>
      <w:r w:rsidR="00694A20">
        <w:rPr>
          <w:rFonts w:ascii="Calibri" w:hAnsi="Calibri" w:cs="Calibri"/>
        </w:rPr>
        <w:t xml:space="preserve"> eğitim emekçilerinin</w:t>
      </w:r>
      <w:r w:rsidRPr="005B184E">
        <w:rPr>
          <w:rFonts w:ascii="Calibri" w:hAnsi="Calibri" w:cs="Calibri"/>
        </w:rPr>
        <w:t xml:space="preserve"> </w:t>
      </w:r>
      <w:proofErr w:type="spellStart"/>
      <w:r w:rsidRPr="005B184E">
        <w:rPr>
          <w:rFonts w:ascii="Calibri" w:hAnsi="Calibri" w:cs="Calibri"/>
        </w:rPr>
        <w:t>filyasyon</w:t>
      </w:r>
      <w:proofErr w:type="spellEnd"/>
      <w:r w:rsidRPr="005B184E">
        <w:rPr>
          <w:rFonts w:ascii="Calibri" w:hAnsi="Calibri" w:cs="Calibri"/>
        </w:rPr>
        <w:t xml:space="preserve"> ekiplerinde ya da çağrı merkezlerinde çalışmak için görevlendirildiği görülmüştür. Bu tür uygulamaların çoğu sendikamızın ve kamuoyunun tepkisi üzerine iptal edilmiştir. </w:t>
      </w:r>
    </w:p>
    <w:p w:rsidR="00047D84" w:rsidRPr="005B184E" w:rsidRDefault="00047D84" w:rsidP="00047D84">
      <w:pPr>
        <w:pStyle w:val="NormalWeb"/>
        <w:shd w:val="clear" w:color="auto" w:fill="FFFFFF"/>
        <w:spacing w:before="0" w:beforeAutospacing="0" w:after="0" w:afterAutospacing="0"/>
        <w:ind w:firstLine="426"/>
        <w:jc w:val="both"/>
        <w:rPr>
          <w:rFonts w:ascii="Calibri" w:hAnsi="Calibri" w:cs="Calibri"/>
        </w:rPr>
      </w:pPr>
      <w:proofErr w:type="spellStart"/>
      <w:r w:rsidRPr="005B184E">
        <w:rPr>
          <w:rFonts w:ascii="Calibri" w:hAnsi="Calibri" w:cs="Calibri"/>
        </w:rPr>
        <w:t>Pandemi</w:t>
      </w:r>
      <w:proofErr w:type="spellEnd"/>
      <w:r w:rsidRPr="005B184E">
        <w:rPr>
          <w:rFonts w:ascii="Calibri" w:hAnsi="Calibri" w:cs="Calibri"/>
        </w:rPr>
        <w:t xml:space="preserve"> sürecinde eğitim alanında hayata geçirilmeye çalışılan esnek çalışma ve angarya uygulamaları salgın sürecinde sadece çalışma biçimlerinin değil, iş ve görev tanımlarının da ihtiyaca göre esnekleştirilmeye çalışıldığını göstermiştir. Milli Eğitim Bakanlığı, eğitimde esnek çalışma uygulamalarının (evden çalışma, telafi çalışması vb</w:t>
      </w:r>
      <w:r>
        <w:rPr>
          <w:rFonts w:ascii="Calibri" w:hAnsi="Calibri" w:cs="Calibri"/>
        </w:rPr>
        <w:t>.</w:t>
      </w:r>
      <w:r w:rsidRPr="005B184E">
        <w:rPr>
          <w:rFonts w:ascii="Calibri" w:hAnsi="Calibri" w:cs="Calibri"/>
        </w:rPr>
        <w:t xml:space="preserve">) kalıcı hale getirilmesi için hazırlıklar yapmayı sürdürmektedir. </w:t>
      </w:r>
    </w:p>
    <w:p w:rsidR="00047D84" w:rsidRDefault="00047D84" w:rsidP="00047D84">
      <w:pPr>
        <w:pStyle w:val="NormalWeb"/>
        <w:shd w:val="clear" w:color="auto" w:fill="FFFFFF"/>
        <w:spacing w:before="0" w:beforeAutospacing="0" w:after="0" w:afterAutospacing="0"/>
        <w:ind w:firstLine="426"/>
        <w:jc w:val="both"/>
        <w:rPr>
          <w:rFonts w:ascii="Calibri" w:hAnsi="Calibri" w:cs="Calibri"/>
          <w:szCs w:val="22"/>
        </w:rPr>
      </w:pPr>
      <w:proofErr w:type="spellStart"/>
      <w:r w:rsidRPr="00EE42C1">
        <w:rPr>
          <w:rFonts w:ascii="Calibri" w:hAnsi="Calibri" w:cs="Calibri"/>
        </w:rPr>
        <w:t>Pandemi</w:t>
      </w:r>
      <w:proofErr w:type="spellEnd"/>
      <w:r w:rsidRPr="00EE42C1">
        <w:rPr>
          <w:rFonts w:ascii="Calibri" w:hAnsi="Calibri" w:cs="Calibri"/>
        </w:rPr>
        <w:t xml:space="preserve"> sürecinde seyreltilmiş sınıflarda yüz yüze eğitim kararı alınmasına rağmen gerekli öğretmen ve yardımcı personel atamaları</w:t>
      </w:r>
      <w:r>
        <w:rPr>
          <w:rFonts w:ascii="Calibri" w:hAnsi="Calibri" w:cs="Calibri"/>
        </w:rPr>
        <w:t>nın</w:t>
      </w:r>
      <w:r w:rsidRPr="00EE42C1">
        <w:rPr>
          <w:rFonts w:ascii="Calibri" w:hAnsi="Calibri" w:cs="Calibri"/>
        </w:rPr>
        <w:t xml:space="preserve"> yapılmamış olması</w:t>
      </w:r>
      <w:r>
        <w:rPr>
          <w:rFonts w:ascii="Calibri" w:hAnsi="Calibri" w:cs="Calibri"/>
        </w:rPr>
        <w:t>,</w:t>
      </w:r>
      <w:r w:rsidRPr="00EE42C1">
        <w:rPr>
          <w:rFonts w:ascii="Calibri" w:hAnsi="Calibri" w:cs="Calibri"/>
        </w:rPr>
        <w:t xml:space="preserve"> hem öğrencileri hem de eğitim emekçilerini mağdur </w:t>
      </w:r>
      <w:r>
        <w:rPr>
          <w:rFonts w:ascii="Calibri" w:hAnsi="Calibri" w:cs="Calibri"/>
        </w:rPr>
        <w:t xml:space="preserve">etmiştir. </w:t>
      </w:r>
      <w:r w:rsidRPr="00EE42C1">
        <w:rPr>
          <w:rFonts w:ascii="Calibri" w:hAnsi="Calibri" w:cs="Calibri"/>
          <w:szCs w:val="22"/>
        </w:rPr>
        <w:t>Bazı okullarda yeterli sayıda öğretmen bulu</w:t>
      </w:r>
      <w:r w:rsidR="006929B1">
        <w:rPr>
          <w:rFonts w:ascii="Calibri" w:hAnsi="Calibri" w:cs="Calibri"/>
          <w:szCs w:val="22"/>
        </w:rPr>
        <w:t>nmadığından, ücretli öğretmen</w:t>
      </w:r>
      <w:r w:rsidRPr="00EE42C1">
        <w:rPr>
          <w:rFonts w:ascii="Calibri" w:hAnsi="Calibri" w:cs="Calibri"/>
          <w:szCs w:val="22"/>
        </w:rPr>
        <w:t xml:space="preserve"> görevlendirilmediğinden, tek sınıf öğretmenine birden fazla sınıf tanımlanm</w:t>
      </w:r>
      <w:r>
        <w:rPr>
          <w:rFonts w:ascii="Calibri" w:hAnsi="Calibri" w:cs="Calibri"/>
          <w:szCs w:val="22"/>
        </w:rPr>
        <w:t>ıştır. Okulların büyük bölümünde yeterli yardımcı personel olmaması eğitim öğretim hizmetlerinin aksamasına neden olmuştur. Okullarda, iş</w:t>
      </w:r>
      <w:r w:rsidR="00537C36">
        <w:rPr>
          <w:rFonts w:ascii="Calibri" w:hAnsi="Calibri" w:cs="Calibri"/>
          <w:szCs w:val="22"/>
        </w:rPr>
        <w:t xml:space="preserve"> </w:t>
      </w:r>
      <w:r>
        <w:rPr>
          <w:rFonts w:ascii="Calibri" w:hAnsi="Calibri" w:cs="Calibri"/>
          <w:szCs w:val="22"/>
        </w:rPr>
        <w:t xml:space="preserve">yerlerinde, il ve ilçe milli eğitim müdürlüklerinde çalışan eğitim emekçileri sağlıksız ortamlarda çalışmak zorunda bırakılmıştır. </w:t>
      </w:r>
    </w:p>
    <w:p w:rsidR="00A37E20" w:rsidRDefault="00CA63AE" w:rsidP="00A37E20">
      <w:pPr>
        <w:ind w:firstLine="426"/>
        <w:rPr>
          <w:sz w:val="24"/>
        </w:rPr>
      </w:pPr>
      <w:r w:rsidRPr="00B71608">
        <w:rPr>
          <w:sz w:val="24"/>
        </w:rPr>
        <w:t>Yüz yüze eğitime kıyasla çok daha sınırlı olan uzaktan eğitimde ve canlı derslerde, örgün eğitimde uygulanan müfredatın aynısı verilmeye çalışılmış; müfredatta bir seyreltme ve azaltma yoluna gidilmemiş</w:t>
      </w:r>
      <w:r>
        <w:rPr>
          <w:sz w:val="24"/>
        </w:rPr>
        <w:t xml:space="preserve">tir. </w:t>
      </w:r>
      <w:r w:rsidRPr="00B71608">
        <w:rPr>
          <w:sz w:val="24"/>
        </w:rPr>
        <w:t xml:space="preserve">Müfredatla paralel olarak ders kitapları da uzaktan eğitime uygun olmadığından canlı derslerde normal ders kitaplarının kullanılması sorun yaratmıştır. </w:t>
      </w:r>
      <w:r>
        <w:rPr>
          <w:sz w:val="24"/>
        </w:rPr>
        <w:t>U</w:t>
      </w:r>
      <w:r w:rsidR="009D583D">
        <w:rPr>
          <w:sz w:val="24"/>
        </w:rPr>
        <w:t>zaktan</w:t>
      </w:r>
      <w:r w:rsidRPr="00B71608">
        <w:rPr>
          <w:sz w:val="24"/>
        </w:rPr>
        <w:t xml:space="preserve"> eğitime u</w:t>
      </w:r>
      <w:r w:rsidR="006929B1">
        <w:rPr>
          <w:sz w:val="24"/>
        </w:rPr>
        <w:t>ygun basılı ve dijital materyal</w:t>
      </w:r>
      <w:r w:rsidR="00047D84">
        <w:rPr>
          <w:sz w:val="24"/>
        </w:rPr>
        <w:t xml:space="preserve">in yetersizliği gibi sorunlar öğretmenlerin işini </w:t>
      </w:r>
      <w:r w:rsidRPr="00B71608">
        <w:rPr>
          <w:sz w:val="24"/>
        </w:rPr>
        <w:t>zorlaştıran</w:t>
      </w:r>
      <w:r w:rsidR="00047D84">
        <w:rPr>
          <w:sz w:val="24"/>
        </w:rPr>
        <w:t xml:space="preserve"> başlıca </w:t>
      </w:r>
      <w:r w:rsidRPr="00B71608">
        <w:rPr>
          <w:sz w:val="24"/>
        </w:rPr>
        <w:t xml:space="preserve">etkenler olmuştur. </w:t>
      </w:r>
    </w:p>
    <w:p w:rsidR="00A37E20" w:rsidRDefault="00CA63AE" w:rsidP="00A37E20">
      <w:pPr>
        <w:ind w:firstLine="426"/>
        <w:rPr>
          <w:sz w:val="24"/>
        </w:rPr>
      </w:pPr>
      <w:r w:rsidRPr="00B71608">
        <w:rPr>
          <w:sz w:val="24"/>
        </w:rPr>
        <w:t xml:space="preserve">Öğretmenlere hem uzaktan eğitimi uygulamak, hem de uzaktan eğitimde kullanılacak materyal geliştirme konusunda </w:t>
      </w:r>
      <w:r>
        <w:rPr>
          <w:sz w:val="24"/>
        </w:rPr>
        <w:t xml:space="preserve">yeterince </w:t>
      </w:r>
      <w:r w:rsidRPr="00B71608">
        <w:rPr>
          <w:sz w:val="24"/>
        </w:rPr>
        <w:t>destek sağlanm</w:t>
      </w:r>
      <w:r w:rsidR="00B130F6">
        <w:rPr>
          <w:sz w:val="24"/>
        </w:rPr>
        <w:t>a</w:t>
      </w:r>
      <w:r>
        <w:rPr>
          <w:sz w:val="24"/>
        </w:rPr>
        <w:t>ması</w:t>
      </w:r>
      <w:r w:rsidR="00EA4747">
        <w:rPr>
          <w:sz w:val="24"/>
        </w:rPr>
        <w:t>,</w:t>
      </w:r>
      <w:r>
        <w:rPr>
          <w:sz w:val="24"/>
        </w:rPr>
        <w:t xml:space="preserve"> 2020-2021 eğitim öğretim yılının</w:t>
      </w:r>
      <w:r w:rsidR="00A37E20">
        <w:rPr>
          <w:sz w:val="24"/>
        </w:rPr>
        <w:t xml:space="preserve"> </w:t>
      </w:r>
      <w:r>
        <w:rPr>
          <w:sz w:val="24"/>
        </w:rPr>
        <w:t xml:space="preserve">büyük ölçüde kayıp bir </w:t>
      </w:r>
      <w:r w:rsidR="00A37E20">
        <w:rPr>
          <w:sz w:val="24"/>
        </w:rPr>
        <w:t>dönem olmasına neden olmuştur. B</w:t>
      </w:r>
      <w:r w:rsidR="00A37E20" w:rsidRPr="00FA0E4B">
        <w:rPr>
          <w:sz w:val="24"/>
        </w:rPr>
        <w:t xml:space="preserve">u kayıp dönemin nasıl telafi edileceği ya da telafi edilip edilemeyeceği konusunda </w:t>
      </w:r>
      <w:r w:rsidR="00A37E20">
        <w:rPr>
          <w:sz w:val="24"/>
        </w:rPr>
        <w:t xml:space="preserve">hiç de </w:t>
      </w:r>
      <w:r w:rsidR="00A37E20" w:rsidRPr="00FA0E4B">
        <w:rPr>
          <w:sz w:val="24"/>
        </w:rPr>
        <w:t xml:space="preserve">iç açıcı bir tablo </w:t>
      </w:r>
      <w:r w:rsidR="00A37E20">
        <w:rPr>
          <w:sz w:val="24"/>
        </w:rPr>
        <w:t xml:space="preserve">bulunmamaktadır. </w:t>
      </w:r>
    </w:p>
    <w:p w:rsidR="004C65D4" w:rsidRDefault="004C65D4" w:rsidP="003701EE">
      <w:pPr>
        <w:ind w:firstLine="426"/>
        <w:rPr>
          <w:rFonts w:cstheme="minorHAnsi"/>
          <w:sz w:val="24"/>
          <w:szCs w:val="24"/>
        </w:rPr>
      </w:pPr>
    </w:p>
    <w:p w:rsidR="006D2CC2" w:rsidRDefault="006D2CC2" w:rsidP="006D2CC2">
      <w:pPr>
        <w:rPr>
          <w:b/>
          <w:sz w:val="24"/>
          <w:szCs w:val="28"/>
        </w:rPr>
      </w:pPr>
      <w:r w:rsidRPr="008F62EC">
        <w:rPr>
          <w:b/>
          <w:sz w:val="24"/>
          <w:szCs w:val="28"/>
        </w:rPr>
        <w:t>KAMU KAYNAKLARI</w:t>
      </w:r>
      <w:r>
        <w:rPr>
          <w:b/>
          <w:sz w:val="24"/>
          <w:szCs w:val="28"/>
        </w:rPr>
        <w:t xml:space="preserve"> </w:t>
      </w:r>
      <w:r w:rsidRPr="008F62EC">
        <w:rPr>
          <w:b/>
          <w:sz w:val="24"/>
          <w:szCs w:val="28"/>
        </w:rPr>
        <w:t xml:space="preserve">ÖZEL OKULLARA </w:t>
      </w:r>
      <w:r w:rsidR="00D95744">
        <w:rPr>
          <w:b/>
          <w:sz w:val="24"/>
          <w:szCs w:val="28"/>
        </w:rPr>
        <w:t>AKTARILMAYA DEVAM EDİYOR</w:t>
      </w:r>
    </w:p>
    <w:p w:rsidR="006D2CC2" w:rsidRDefault="006D2CC2" w:rsidP="006D2CC2">
      <w:pPr>
        <w:rPr>
          <w:b/>
          <w:sz w:val="24"/>
          <w:szCs w:val="28"/>
        </w:rPr>
      </w:pPr>
    </w:p>
    <w:p w:rsidR="006D2CC2" w:rsidRDefault="006D2CC2" w:rsidP="006D2CC2">
      <w:pPr>
        <w:pStyle w:val="NormalWeb"/>
        <w:spacing w:before="0" w:beforeAutospacing="0" w:after="0" w:afterAutospacing="0"/>
        <w:ind w:firstLine="357"/>
        <w:jc w:val="both"/>
      </w:pPr>
      <w:r w:rsidRPr="007519FB">
        <w:rPr>
          <w:rFonts w:ascii="Calibri" w:hAnsi="Calibri"/>
          <w:bCs/>
          <w:color w:val="000000"/>
        </w:rPr>
        <w:t>M</w:t>
      </w:r>
      <w:r>
        <w:rPr>
          <w:rFonts w:ascii="Calibri" w:hAnsi="Calibri"/>
          <w:bCs/>
          <w:color w:val="000000"/>
        </w:rPr>
        <w:t xml:space="preserve">illi </w:t>
      </w:r>
      <w:r w:rsidRPr="007519FB">
        <w:rPr>
          <w:rFonts w:ascii="Calibri" w:hAnsi="Calibri"/>
          <w:bCs/>
          <w:color w:val="000000"/>
        </w:rPr>
        <w:t>E</w:t>
      </w:r>
      <w:r>
        <w:rPr>
          <w:rFonts w:ascii="Calibri" w:hAnsi="Calibri"/>
          <w:bCs/>
          <w:color w:val="000000"/>
        </w:rPr>
        <w:t xml:space="preserve">ğitim </w:t>
      </w:r>
      <w:r w:rsidRPr="007519FB">
        <w:rPr>
          <w:rFonts w:ascii="Calibri" w:hAnsi="Calibri"/>
          <w:bCs/>
          <w:color w:val="000000"/>
        </w:rPr>
        <w:t>B</w:t>
      </w:r>
      <w:r>
        <w:rPr>
          <w:rFonts w:ascii="Calibri" w:hAnsi="Calibri"/>
          <w:bCs/>
          <w:color w:val="000000"/>
        </w:rPr>
        <w:t xml:space="preserve">akanlığı’nın </w:t>
      </w:r>
      <w:r w:rsidRPr="007519FB">
        <w:rPr>
          <w:rFonts w:ascii="Calibri" w:hAnsi="Calibri"/>
          <w:bCs/>
          <w:color w:val="000000"/>
        </w:rPr>
        <w:t xml:space="preserve">resmi verilerine göre, eğitimde 4+4+4 uygulamasının başlamasından bu yana devlete ait </w:t>
      </w:r>
      <w:r w:rsidRPr="007519FB">
        <w:rPr>
          <w:rFonts w:ascii="Calibri" w:hAnsi="Calibri"/>
          <w:b/>
          <w:bCs/>
          <w:color w:val="000000"/>
        </w:rPr>
        <w:t>ilkokul sayısı 5 bin 369 azalmıştır</w:t>
      </w:r>
      <w:r w:rsidRPr="007519FB">
        <w:rPr>
          <w:rFonts w:ascii="Calibri" w:hAnsi="Calibri"/>
          <w:bCs/>
          <w:color w:val="000000"/>
        </w:rPr>
        <w:t xml:space="preserve">. Aynı dönemde devlet okullarına giden </w:t>
      </w:r>
      <w:r w:rsidRPr="007519FB">
        <w:rPr>
          <w:rFonts w:ascii="Calibri" w:hAnsi="Calibri"/>
          <w:b/>
          <w:bCs/>
          <w:color w:val="000000"/>
        </w:rPr>
        <w:t>öğrenci sayısındaki azalış ilkokulda 420 bin 602</w:t>
      </w:r>
      <w:r w:rsidRPr="007519FB">
        <w:rPr>
          <w:rFonts w:ascii="Calibri" w:hAnsi="Calibri"/>
          <w:bCs/>
          <w:color w:val="000000"/>
        </w:rPr>
        <w:t xml:space="preserve">, </w:t>
      </w:r>
      <w:r w:rsidRPr="007519FB">
        <w:rPr>
          <w:rFonts w:ascii="Calibri" w:hAnsi="Calibri"/>
          <w:b/>
          <w:bCs/>
          <w:color w:val="000000"/>
        </w:rPr>
        <w:t>ortaokulda ise 271 bin 261</w:t>
      </w:r>
      <w:r>
        <w:rPr>
          <w:rFonts w:ascii="Calibri" w:hAnsi="Calibri"/>
          <w:bCs/>
          <w:color w:val="000000"/>
        </w:rPr>
        <w:t xml:space="preserve"> olmuştur. Aynı döneme özel okul ve özel okula giden öğrenci sayısı açısından bakıldığında karşımıza bambaşka bir tablo çıkmaktadır. </w:t>
      </w:r>
    </w:p>
    <w:p w:rsidR="006D2CC2" w:rsidRDefault="006D2CC2" w:rsidP="006D2CC2">
      <w:pPr>
        <w:ind w:firstLine="426"/>
        <w:rPr>
          <w:color w:val="000000" w:themeColor="text1"/>
          <w:sz w:val="24"/>
        </w:rPr>
      </w:pPr>
      <w:r w:rsidRPr="0038064D">
        <w:rPr>
          <w:sz w:val="24"/>
          <w:szCs w:val="24"/>
        </w:rPr>
        <w:t xml:space="preserve">2020-2021 eğitim ve öğretim yılı itibarıyla örgün eğitimin tüm kademelerinde toplam </w:t>
      </w:r>
      <w:r w:rsidRPr="00AD03E3">
        <w:rPr>
          <w:b/>
          <w:sz w:val="24"/>
          <w:szCs w:val="24"/>
        </w:rPr>
        <w:t>14 bin 466</w:t>
      </w:r>
      <w:r w:rsidRPr="0038064D">
        <w:rPr>
          <w:sz w:val="24"/>
          <w:szCs w:val="24"/>
        </w:rPr>
        <w:t xml:space="preserve"> özel okul bulunmaktadır. 2002-2003 eğitim öğretim yılında özel okullarda okuyan öğrencilerin oranı sadece </w:t>
      </w:r>
      <w:r w:rsidRPr="00AD03E3">
        <w:rPr>
          <w:b/>
          <w:sz w:val="24"/>
          <w:szCs w:val="24"/>
        </w:rPr>
        <w:t>yüzde 1,9</w:t>
      </w:r>
      <w:r w:rsidRPr="0038064D">
        <w:rPr>
          <w:sz w:val="24"/>
          <w:szCs w:val="24"/>
        </w:rPr>
        <w:t xml:space="preserve"> iken 2019-2020 eğitim ve öğretim yılı sonu itibariyle özel okullarda kayıtlı öğrencilerin toplam öğrenci sayısına oranı </w:t>
      </w:r>
      <w:r w:rsidRPr="00AD03E3">
        <w:rPr>
          <w:b/>
          <w:sz w:val="24"/>
          <w:szCs w:val="24"/>
        </w:rPr>
        <w:t>yüzde 8,81</w:t>
      </w:r>
      <w:r w:rsidRPr="0038064D">
        <w:rPr>
          <w:sz w:val="24"/>
          <w:szCs w:val="24"/>
        </w:rPr>
        <w:t xml:space="preserve">’e ulaşarak tüm zamanların rekoru kırılmıştır. 2021 itibariyle örgün eğitim içindeki özel okul sayılarının </w:t>
      </w:r>
      <w:r>
        <w:rPr>
          <w:sz w:val="24"/>
          <w:szCs w:val="24"/>
        </w:rPr>
        <w:t xml:space="preserve">toplam okul sayısına oranı ise </w:t>
      </w:r>
      <w:r w:rsidRPr="00AD03E3">
        <w:rPr>
          <w:b/>
          <w:sz w:val="24"/>
          <w:szCs w:val="24"/>
        </w:rPr>
        <w:t>yüzde 20,2</w:t>
      </w:r>
      <w:r w:rsidRPr="0038064D">
        <w:rPr>
          <w:sz w:val="24"/>
          <w:szCs w:val="24"/>
        </w:rPr>
        <w:t xml:space="preserve">’ye çıkmıştır. </w:t>
      </w:r>
      <w:r w:rsidRPr="00372E79">
        <w:rPr>
          <w:color w:val="000000" w:themeColor="text1"/>
          <w:sz w:val="24"/>
        </w:rPr>
        <w:t xml:space="preserve">Milli Eğitim Bakanı Ziya Selçuk, </w:t>
      </w:r>
      <w:r w:rsidR="007A4317">
        <w:rPr>
          <w:color w:val="000000" w:themeColor="text1"/>
          <w:sz w:val="24"/>
        </w:rPr>
        <w:t>M</w:t>
      </w:r>
      <w:r w:rsidRPr="00372E79">
        <w:rPr>
          <w:color w:val="000000" w:themeColor="text1"/>
          <w:sz w:val="24"/>
        </w:rPr>
        <w:t>eclis</w:t>
      </w:r>
      <w:r w:rsidR="007A4317">
        <w:rPr>
          <w:color w:val="000000" w:themeColor="text1"/>
          <w:sz w:val="24"/>
        </w:rPr>
        <w:t>’</w:t>
      </w:r>
      <w:r w:rsidRPr="00372E79">
        <w:rPr>
          <w:color w:val="000000" w:themeColor="text1"/>
          <w:sz w:val="24"/>
        </w:rPr>
        <w:t xml:space="preserve">te daha önce yaptığı bütçe sunuş konuşmasında </w:t>
      </w:r>
      <w:r w:rsidRPr="00372E79">
        <w:rPr>
          <w:color w:val="000000" w:themeColor="text1"/>
          <w:sz w:val="24"/>
        </w:rPr>
        <w:lastRenderedPageBreak/>
        <w:t>2021 yılında özel okullara toplam 891 milyon TL eğitim desteği veril</w:t>
      </w:r>
      <w:r>
        <w:rPr>
          <w:color w:val="000000" w:themeColor="text1"/>
          <w:sz w:val="24"/>
        </w:rPr>
        <w:t xml:space="preserve">mesinin planlandığını </w:t>
      </w:r>
      <w:r w:rsidRPr="00372E79">
        <w:rPr>
          <w:color w:val="000000" w:themeColor="text1"/>
          <w:sz w:val="24"/>
        </w:rPr>
        <w:t xml:space="preserve">açıklamıştır. </w:t>
      </w:r>
    </w:p>
    <w:p w:rsidR="006D2CC2" w:rsidRDefault="006D2CC2" w:rsidP="006D2CC2">
      <w:pPr>
        <w:ind w:firstLine="426"/>
        <w:rPr>
          <w:rFonts w:cstheme="minorHAnsi"/>
          <w:color w:val="000000" w:themeColor="text1"/>
          <w:sz w:val="24"/>
          <w:szCs w:val="21"/>
        </w:rPr>
      </w:pPr>
      <w:r w:rsidRPr="00580F5A">
        <w:rPr>
          <w:b/>
          <w:noProof/>
          <w:color w:val="000000" w:themeColor="text1"/>
          <w:lang w:eastAsia="tr-TR"/>
        </w:rPr>
        <w:drawing>
          <wp:inline distT="0" distB="0" distL="0" distR="0" wp14:anchorId="06F9DCD4" wp14:editId="3A997161">
            <wp:extent cx="5343525" cy="2686050"/>
            <wp:effectExtent l="0" t="0" r="9525"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D2CC2" w:rsidRDefault="006D2CC2" w:rsidP="006D2CC2">
      <w:pPr>
        <w:ind w:firstLine="426"/>
        <w:rPr>
          <w:color w:val="000000" w:themeColor="text1"/>
          <w:sz w:val="24"/>
        </w:rPr>
      </w:pPr>
    </w:p>
    <w:p w:rsidR="006D2CC2" w:rsidRDefault="006D2CC2" w:rsidP="006D2CC2">
      <w:pPr>
        <w:ind w:firstLine="426"/>
        <w:rPr>
          <w:rFonts w:ascii="Calibri" w:hAnsi="Calibri"/>
          <w:color w:val="000000"/>
          <w:sz w:val="24"/>
        </w:rPr>
      </w:pPr>
      <w:r>
        <w:rPr>
          <w:rFonts w:ascii="Calibri" w:hAnsi="Calibri"/>
          <w:color w:val="000000"/>
          <w:sz w:val="24"/>
        </w:rPr>
        <w:t>Yukarıdaki tablo dikkatli incelendiğinde</w:t>
      </w:r>
      <w:r w:rsidR="003D6DD7">
        <w:rPr>
          <w:rFonts w:ascii="Calibri" w:hAnsi="Calibri"/>
          <w:color w:val="000000"/>
          <w:sz w:val="24"/>
        </w:rPr>
        <w:t>,</w:t>
      </w:r>
      <w:r>
        <w:rPr>
          <w:rFonts w:ascii="Calibri" w:hAnsi="Calibri"/>
          <w:color w:val="000000"/>
          <w:sz w:val="24"/>
        </w:rPr>
        <w:t xml:space="preserve"> v</w:t>
      </w:r>
      <w:r w:rsidRPr="00372E79">
        <w:rPr>
          <w:rFonts w:ascii="Calibri" w:hAnsi="Calibri"/>
          <w:color w:val="000000"/>
          <w:sz w:val="24"/>
        </w:rPr>
        <w:t xml:space="preserve">elilerin çocuklarını </w:t>
      </w:r>
      <w:r>
        <w:rPr>
          <w:rFonts w:ascii="Calibri" w:hAnsi="Calibri"/>
          <w:color w:val="000000"/>
          <w:sz w:val="24"/>
        </w:rPr>
        <w:t xml:space="preserve">giderek daha fazla </w:t>
      </w:r>
      <w:r w:rsidRPr="00372E79">
        <w:rPr>
          <w:rFonts w:ascii="Calibri" w:hAnsi="Calibri"/>
          <w:color w:val="000000"/>
          <w:sz w:val="24"/>
        </w:rPr>
        <w:t>özel okullara yöneltmesinde devlet okullarının 4+4+4 nedeniyle yaşadığı ağır tahribatın</w:t>
      </w:r>
      <w:r>
        <w:rPr>
          <w:rFonts w:ascii="Calibri" w:hAnsi="Calibri"/>
          <w:color w:val="000000"/>
          <w:sz w:val="24"/>
        </w:rPr>
        <w:t xml:space="preserve"> belirleyici olduğunu söylemek mümkündür. Ö</w:t>
      </w:r>
      <w:r w:rsidRPr="00372E79">
        <w:rPr>
          <w:rFonts w:ascii="Calibri" w:hAnsi="Calibri"/>
          <w:color w:val="000000"/>
          <w:sz w:val="24"/>
        </w:rPr>
        <w:t>zellikle devlet okullarında yaygınlaşan yoğun dinselleşme pratiklerinin</w:t>
      </w:r>
      <w:r>
        <w:rPr>
          <w:rFonts w:ascii="Calibri" w:hAnsi="Calibri"/>
          <w:color w:val="000000"/>
          <w:sz w:val="24"/>
        </w:rPr>
        <w:t xml:space="preserve"> artması, z</w:t>
      </w:r>
      <w:r w:rsidRPr="00372E79">
        <w:rPr>
          <w:rFonts w:ascii="Calibri" w:hAnsi="Calibri"/>
          <w:color w:val="000000"/>
          <w:sz w:val="24"/>
        </w:rPr>
        <w:t>orunlu-seçmeli din dersleri</w:t>
      </w:r>
      <w:r>
        <w:rPr>
          <w:rFonts w:ascii="Calibri" w:hAnsi="Calibri"/>
          <w:color w:val="000000"/>
          <w:sz w:val="24"/>
        </w:rPr>
        <w:t xml:space="preserve"> uygulamaları, </w:t>
      </w:r>
      <w:r w:rsidRPr="00372E79">
        <w:rPr>
          <w:rFonts w:ascii="Calibri" w:hAnsi="Calibri"/>
          <w:color w:val="000000"/>
          <w:sz w:val="24"/>
        </w:rPr>
        <w:t xml:space="preserve">öğretmen yetersizliği, fiziki koşullar </w:t>
      </w:r>
      <w:r>
        <w:rPr>
          <w:rFonts w:ascii="Calibri" w:hAnsi="Calibri"/>
          <w:color w:val="000000"/>
          <w:sz w:val="24"/>
        </w:rPr>
        <w:t>ve altyapı yetersizlikleri g</w:t>
      </w:r>
      <w:r w:rsidRPr="00372E79">
        <w:rPr>
          <w:rFonts w:ascii="Calibri" w:hAnsi="Calibri"/>
          <w:color w:val="000000"/>
          <w:sz w:val="24"/>
        </w:rPr>
        <w:t>ibi pek çok neden birçok velinin çocuğunu özel okullara yönlendirmesini beraberinde getirmiştir. </w:t>
      </w:r>
    </w:p>
    <w:p w:rsidR="006D2CC2" w:rsidRDefault="006D2CC2" w:rsidP="006D2CC2">
      <w:pPr>
        <w:ind w:firstLine="426"/>
        <w:rPr>
          <w:sz w:val="24"/>
        </w:rPr>
      </w:pPr>
      <w:r w:rsidRPr="00020E94">
        <w:rPr>
          <w:sz w:val="24"/>
          <w:szCs w:val="24"/>
        </w:rPr>
        <w:t>Devlet okulları sorunlarla boğuşurken,</w:t>
      </w:r>
      <w:r>
        <w:rPr>
          <w:sz w:val="24"/>
          <w:szCs w:val="24"/>
        </w:rPr>
        <w:t xml:space="preserve"> </w:t>
      </w:r>
      <w:r w:rsidRPr="00020E94">
        <w:rPr>
          <w:sz w:val="24"/>
          <w:szCs w:val="24"/>
        </w:rPr>
        <w:t>20</w:t>
      </w:r>
      <w:r>
        <w:rPr>
          <w:sz w:val="24"/>
          <w:szCs w:val="24"/>
        </w:rPr>
        <w:t>20</w:t>
      </w:r>
      <w:r w:rsidRPr="00020E94">
        <w:rPr>
          <w:sz w:val="24"/>
          <w:szCs w:val="24"/>
        </w:rPr>
        <w:t>-20</w:t>
      </w:r>
      <w:r>
        <w:rPr>
          <w:sz w:val="24"/>
          <w:szCs w:val="24"/>
        </w:rPr>
        <w:t>2</w:t>
      </w:r>
      <w:r w:rsidRPr="00020E94">
        <w:rPr>
          <w:sz w:val="24"/>
          <w:szCs w:val="24"/>
        </w:rPr>
        <w:t xml:space="preserve">1 eğitim öğretim yılında kamu kaynaklarından özel okullara teşvikler </w:t>
      </w:r>
      <w:r>
        <w:rPr>
          <w:sz w:val="24"/>
          <w:szCs w:val="24"/>
        </w:rPr>
        <w:t xml:space="preserve">devam etmiştir. </w:t>
      </w:r>
      <w:r w:rsidRPr="0044136F">
        <w:rPr>
          <w:sz w:val="24"/>
        </w:rPr>
        <w:t>2020-2021 eğitim öğretim yılında</w:t>
      </w:r>
      <w:r>
        <w:rPr>
          <w:sz w:val="24"/>
        </w:rPr>
        <w:t xml:space="preserve"> destekler</w:t>
      </w:r>
      <w:r w:rsidRPr="0044136F">
        <w:rPr>
          <w:sz w:val="24"/>
        </w:rPr>
        <w:t xml:space="preserve"> ilkokul 3</w:t>
      </w:r>
      <w:r>
        <w:rPr>
          <w:sz w:val="24"/>
        </w:rPr>
        <w:t>. ve</w:t>
      </w:r>
      <w:r w:rsidRPr="0044136F">
        <w:rPr>
          <w:sz w:val="24"/>
        </w:rPr>
        <w:t xml:space="preserve"> 4. sınıf, ortaokul 7</w:t>
      </w:r>
      <w:r>
        <w:rPr>
          <w:sz w:val="24"/>
        </w:rPr>
        <w:t>. ve</w:t>
      </w:r>
      <w:r w:rsidRPr="0044136F">
        <w:rPr>
          <w:sz w:val="24"/>
        </w:rPr>
        <w:t xml:space="preserve"> 8. sınıf ve ortaöğretim 10</w:t>
      </w:r>
      <w:proofErr w:type="gramStart"/>
      <w:r>
        <w:rPr>
          <w:sz w:val="24"/>
        </w:rPr>
        <w:t>.,</w:t>
      </w:r>
      <w:proofErr w:type="gramEnd"/>
      <w:r w:rsidRPr="0044136F">
        <w:rPr>
          <w:sz w:val="24"/>
        </w:rPr>
        <w:t xml:space="preserve"> 11</w:t>
      </w:r>
      <w:r>
        <w:rPr>
          <w:sz w:val="24"/>
        </w:rPr>
        <w:t>.</w:t>
      </w:r>
      <w:r w:rsidRPr="0044136F">
        <w:rPr>
          <w:sz w:val="24"/>
        </w:rPr>
        <w:t>,</w:t>
      </w:r>
      <w:r>
        <w:rPr>
          <w:sz w:val="24"/>
        </w:rPr>
        <w:t xml:space="preserve">ve </w:t>
      </w:r>
      <w:r w:rsidRPr="0044136F">
        <w:rPr>
          <w:sz w:val="24"/>
        </w:rPr>
        <w:t xml:space="preserve"> 12. sınıf okul kademelerinde öğrenim gören öğrenci</w:t>
      </w:r>
      <w:r>
        <w:rPr>
          <w:sz w:val="24"/>
        </w:rPr>
        <w:t xml:space="preserve"> başına okullara </w:t>
      </w:r>
      <w:r w:rsidRPr="0044136F">
        <w:rPr>
          <w:sz w:val="24"/>
        </w:rPr>
        <w:t>veril</w:t>
      </w:r>
      <w:r>
        <w:rPr>
          <w:sz w:val="24"/>
        </w:rPr>
        <w:t xml:space="preserve">miştir. Buna göre; </w:t>
      </w:r>
      <w:r w:rsidR="003461FD">
        <w:rPr>
          <w:sz w:val="24"/>
        </w:rPr>
        <w:t>i</w:t>
      </w:r>
      <w:r w:rsidRPr="0044136F">
        <w:rPr>
          <w:sz w:val="24"/>
        </w:rPr>
        <w:t>lkokul 3</w:t>
      </w:r>
      <w:r w:rsidR="003461FD">
        <w:rPr>
          <w:sz w:val="24"/>
        </w:rPr>
        <w:t>.</w:t>
      </w:r>
      <w:r w:rsidRPr="0044136F">
        <w:rPr>
          <w:sz w:val="24"/>
        </w:rPr>
        <w:t xml:space="preserve"> ve 4. </w:t>
      </w:r>
      <w:r w:rsidR="003461FD">
        <w:rPr>
          <w:sz w:val="24"/>
        </w:rPr>
        <w:t>s</w:t>
      </w:r>
      <w:r w:rsidRPr="0044136F">
        <w:rPr>
          <w:sz w:val="24"/>
        </w:rPr>
        <w:t>ınıf</w:t>
      </w:r>
      <w:r>
        <w:rPr>
          <w:sz w:val="24"/>
        </w:rPr>
        <w:t xml:space="preserve"> öğrencileri için öğrenci başına</w:t>
      </w:r>
      <w:r w:rsidRPr="0044136F">
        <w:rPr>
          <w:sz w:val="24"/>
        </w:rPr>
        <w:t xml:space="preserve"> 4 bin </w:t>
      </w:r>
      <w:r w:rsidR="006D4DC1">
        <w:rPr>
          <w:sz w:val="24"/>
        </w:rPr>
        <w:t>610</w:t>
      </w:r>
      <w:r>
        <w:rPr>
          <w:sz w:val="24"/>
        </w:rPr>
        <w:t xml:space="preserve"> TL; </w:t>
      </w:r>
      <w:r w:rsidR="003461FD">
        <w:rPr>
          <w:sz w:val="24"/>
        </w:rPr>
        <w:t>o</w:t>
      </w:r>
      <w:r w:rsidRPr="0044136F">
        <w:rPr>
          <w:sz w:val="24"/>
        </w:rPr>
        <w:t>rtaokul 7</w:t>
      </w:r>
      <w:r>
        <w:rPr>
          <w:sz w:val="24"/>
        </w:rPr>
        <w:t>.</w:t>
      </w:r>
      <w:r w:rsidRPr="0044136F">
        <w:rPr>
          <w:sz w:val="24"/>
        </w:rPr>
        <w:t xml:space="preserve"> ve 8. </w:t>
      </w:r>
      <w:r w:rsidR="00120DBD">
        <w:rPr>
          <w:sz w:val="24"/>
        </w:rPr>
        <w:t>s</w:t>
      </w:r>
      <w:r w:rsidRPr="0044136F">
        <w:rPr>
          <w:sz w:val="24"/>
        </w:rPr>
        <w:t>ınıf</w:t>
      </w:r>
      <w:r>
        <w:rPr>
          <w:sz w:val="24"/>
        </w:rPr>
        <w:t xml:space="preserve"> öğrencileri için öğrenci başına </w:t>
      </w:r>
      <w:r w:rsidRPr="0044136F">
        <w:rPr>
          <w:sz w:val="24"/>
        </w:rPr>
        <w:t>4 bin 8</w:t>
      </w:r>
      <w:r w:rsidR="006D4DC1">
        <w:rPr>
          <w:sz w:val="24"/>
        </w:rPr>
        <w:t>50</w:t>
      </w:r>
      <w:r>
        <w:rPr>
          <w:sz w:val="24"/>
        </w:rPr>
        <w:t xml:space="preserve">TL; </w:t>
      </w:r>
      <w:r w:rsidR="003461FD">
        <w:rPr>
          <w:sz w:val="24"/>
        </w:rPr>
        <w:t>o</w:t>
      </w:r>
      <w:r w:rsidRPr="0044136F">
        <w:rPr>
          <w:sz w:val="24"/>
        </w:rPr>
        <w:t>rtaöğretim 10</w:t>
      </w:r>
      <w:proofErr w:type="gramStart"/>
      <w:r>
        <w:rPr>
          <w:sz w:val="24"/>
        </w:rPr>
        <w:t>.</w:t>
      </w:r>
      <w:r w:rsidRPr="0044136F">
        <w:rPr>
          <w:sz w:val="24"/>
        </w:rPr>
        <w:t>,</w:t>
      </w:r>
      <w:proofErr w:type="gramEnd"/>
      <w:r w:rsidRPr="0044136F">
        <w:rPr>
          <w:sz w:val="24"/>
        </w:rPr>
        <w:t> 11</w:t>
      </w:r>
      <w:r>
        <w:rPr>
          <w:sz w:val="24"/>
        </w:rPr>
        <w:t>.,</w:t>
      </w:r>
      <w:r w:rsidRPr="0044136F">
        <w:rPr>
          <w:sz w:val="24"/>
        </w:rPr>
        <w:t xml:space="preserve"> ve 12. </w:t>
      </w:r>
      <w:r w:rsidR="00120DBD">
        <w:rPr>
          <w:sz w:val="24"/>
        </w:rPr>
        <w:t>s</w:t>
      </w:r>
      <w:r w:rsidRPr="0044136F">
        <w:rPr>
          <w:sz w:val="24"/>
        </w:rPr>
        <w:t>ınıf</w:t>
      </w:r>
      <w:r>
        <w:rPr>
          <w:sz w:val="24"/>
        </w:rPr>
        <w:t xml:space="preserve"> öğrencileri için öğrenci başına </w:t>
      </w:r>
      <w:r w:rsidRPr="0044136F">
        <w:rPr>
          <w:sz w:val="24"/>
        </w:rPr>
        <w:t>4 bin 8</w:t>
      </w:r>
      <w:r w:rsidR="006D4DC1">
        <w:rPr>
          <w:sz w:val="24"/>
        </w:rPr>
        <w:t>50</w:t>
      </w:r>
      <w:r>
        <w:rPr>
          <w:sz w:val="24"/>
        </w:rPr>
        <w:t xml:space="preserve"> TL ödeme doğrudan kamu kaynakları üzerinden yapılmıştır.  </w:t>
      </w:r>
    </w:p>
    <w:p w:rsidR="006D2CC2" w:rsidRDefault="006D2CC2" w:rsidP="006D2CC2">
      <w:pPr>
        <w:ind w:firstLine="360"/>
        <w:rPr>
          <w:rFonts w:ascii="Calibri" w:eastAsia="Arial Unicode MS" w:hAnsi="Calibri"/>
          <w:sz w:val="24"/>
          <w:szCs w:val="24"/>
        </w:rPr>
      </w:pPr>
      <w:r>
        <w:rPr>
          <w:rFonts w:ascii="Calibri" w:eastAsia="Arial Unicode MS" w:hAnsi="Calibri"/>
          <w:sz w:val="24"/>
          <w:szCs w:val="24"/>
        </w:rPr>
        <w:t xml:space="preserve">İktidarın </w:t>
      </w:r>
      <w:r w:rsidRPr="00C16F24">
        <w:rPr>
          <w:rFonts w:ascii="Calibri" w:eastAsia="Arial Unicode MS" w:hAnsi="Calibri"/>
          <w:sz w:val="24"/>
          <w:szCs w:val="24"/>
        </w:rPr>
        <w:t xml:space="preserve">özel okulları teşvik politikası içinde özel ortaöğretim kurumlarının ayrı bir yeri bulunmaktadır. Dershanelerin özel okullara/temel liselere dönüştürülmesi sürecinin de etkisiyle özel ortaöğretim kurumlarının sayısı 2019-2020 eğitim öğretim yılı sonu itibariyle tarihin en yüksek seviyesine çıkmıştır. </w:t>
      </w: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CE7349" w:rsidRDefault="00CE7349" w:rsidP="006D2CC2">
      <w:pPr>
        <w:ind w:firstLine="360"/>
        <w:rPr>
          <w:rFonts w:ascii="Calibri" w:eastAsia="Arial Unicode MS" w:hAnsi="Calibri"/>
          <w:sz w:val="24"/>
          <w:szCs w:val="24"/>
        </w:rPr>
      </w:pPr>
    </w:p>
    <w:p w:rsidR="0079649F" w:rsidRDefault="0079649F" w:rsidP="0079649F">
      <w:pPr>
        <w:rPr>
          <w:rFonts w:ascii="Calibri" w:eastAsia="Arial Unicode MS" w:hAnsi="Calibri"/>
          <w:sz w:val="24"/>
          <w:szCs w:val="24"/>
        </w:rPr>
      </w:pPr>
    </w:p>
    <w:p w:rsidR="006D2CC2" w:rsidRPr="006E4419" w:rsidRDefault="00CE7349" w:rsidP="0079649F">
      <w:pPr>
        <w:ind w:left="708" w:firstLine="708"/>
        <w:rPr>
          <w:rFonts w:ascii="Calibri" w:hAnsi="Calibri"/>
          <w:sz w:val="16"/>
        </w:rPr>
      </w:pPr>
      <w:r>
        <w:rPr>
          <w:rFonts w:ascii="Calibri" w:hAnsi="Calibri"/>
          <w:b/>
          <w:color w:val="000000" w:themeColor="text1"/>
          <w:sz w:val="24"/>
          <w:szCs w:val="24"/>
        </w:rPr>
        <w:lastRenderedPageBreak/>
        <w:t xml:space="preserve">Özel </w:t>
      </w:r>
      <w:r w:rsidR="006D2CC2" w:rsidRPr="00FD7DAA">
        <w:rPr>
          <w:rFonts w:ascii="Calibri" w:hAnsi="Calibri"/>
          <w:b/>
          <w:color w:val="000000" w:themeColor="text1"/>
          <w:sz w:val="24"/>
          <w:szCs w:val="24"/>
        </w:rPr>
        <w:t>İlkokul ve Ortaokulda Okul, Öğrenci ve Öğretmen Sayıları (Özel)</w:t>
      </w:r>
    </w:p>
    <w:tbl>
      <w:tblPr>
        <w:tblStyle w:val="ListeTablo3-Vurgu2"/>
        <w:tblpPr w:leftFromText="141" w:rightFromText="141" w:vertAnchor="text" w:horzAnchor="margin" w:tblpXSpec="center" w:tblpY="137"/>
        <w:tblW w:w="8147" w:type="dxa"/>
        <w:tblLayout w:type="fixed"/>
        <w:tblLook w:val="01E0" w:firstRow="1" w:lastRow="1" w:firstColumn="1" w:lastColumn="1" w:noHBand="0" w:noVBand="0"/>
      </w:tblPr>
      <w:tblGrid>
        <w:gridCol w:w="1417"/>
        <w:gridCol w:w="978"/>
        <w:gridCol w:w="14"/>
        <w:gridCol w:w="1120"/>
        <w:gridCol w:w="1323"/>
        <w:gridCol w:w="1134"/>
        <w:gridCol w:w="934"/>
        <w:gridCol w:w="1227"/>
      </w:tblGrid>
      <w:tr w:rsidR="00CE7349" w:rsidRPr="007D55B5" w:rsidTr="00CE7349">
        <w:trPr>
          <w:cnfStyle w:val="100000000000" w:firstRow="1" w:lastRow="0" w:firstColumn="0" w:lastColumn="0" w:oddVBand="0" w:evenVBand="0" w:oddHBand="0" w:evenHBand="0" w:firstRowFirstColumn="0" w:firstRowLastColumn="0" w:lastRowFirstColumn="0" w:lastRowLastColumn="0"/>
          <w:trHeight w:val="557"/>
        </w:trPr>
        <w:tc>
          <w:tcPr>
            <w:cnfStyle w:val="001000000100" w:firstRow="0" w:lastRow="0" w:firstColumn="1" w:lastColumn="0" w:oddVBand="0" w:evenVBand="0" w:oddHBand="0" w:evenHBand="0" w:firstRowFirstColumn="1" w:firstRowLastColumn="0" w:lastRowFirstColumn="0" w:lastRowLastColumn="0"/>
            <w:tcW w:w="1417" w:type="dxa"/>
          </w:tcPr>
          <w:p w:rsidR="00CE7349" w:rsidRPr="008F62EC" w:rsidRDefault="00CE7349" w:rsidP="00CE7349">
            <w:pPr>
              <w:rPr>
                <w:rFonts w:cstheme="minorHAnsi"/>
                <w:color w:val="000000"/>
                <w:sz w:val="24"/>
                <w:szCs w:val="24"/>
              </w:rPr>
            </w:pPr>
          </w:p>
          <w:p w:rsidR="00CE7349" w:rsidRPr="008F62EC" w:rsidRDefault="00CE7349" w:rsidP="00CE7349">
            <w:pPr>
              <w:rPr>
                <w:rFonts w:cstheme="minorHAnsi"/>
                <w:color w:val="000000"/>
                <w:sz w:val="24"/>
                <w:szCs w:val="24"/>
              </w:rPr>
            </w:pPr>
            <w:r w:rsidRPr="008F62EC">
              <w:rPr>
                <w:rFonts w:cstheme="minorHAnsi"/>
                <w:color w:val="000000"/>
                <w:sz w:val="24"/>
                <w:szCs w:val="24"/>
              </w:rPr>
              <w:t>Eğitim Yılı</w:t>
            </w:r>
          </w:p>
        </w:tc>
        <w:tc>
          <w:tcPr>
            <w:cnfStyle w:val="000010000000" w:firstRow="0" w:lastRow="0" w:firstColumn="0" w:lastColumn="0" w:oddVBand="1" w:evenVBand="0" w:oddHBand="0" w:evenHBand="0" w:firstRowFirstColumn="0" w:firstRowLastColumn="0" w:lastRowFirstColumn="0" w:lastRowLastColumn="0"/>
            <w:tcW w:w="2112" w:type="dxa"/>
            <w:gridSpan w:val="3"/>
          </w:tcPr>
          <w:p w:rsidR="00CE7349" w:rsidRPr="008F62EC" w:rsidRDefault="00CE7349" w:rsidP="00CE7349">
            <w:pPr>
              <w:jc w:val="center"/>
              <w:rPr>
                <w:rFonts w:cstheme="minorHAnsi"/>
                <w:color w:val="000000"/>
                <w:sz w:val="24"/>
                <w:szCs w:val="24"/>
              </w:rPr>
            </w:pPr>
            <w:r w:rsidRPr="008F62EC">
              <w:rPr>
                <w:rFonts w:cstheme="minorHAnsi"/>
                <w:color w:val="000000"/>
                <w:sz w:val="24"/>
                <w:szCs w:val="24"/>
              </w:rPr>
              <w:t>İlköğretim</w:t>
            </w:r>
          </w:p>
          <w:p w:rsidR="00CE7349" w:rsidRPr="008F62EC" w:rsidRDefault="00CE7349" w:rsidP="00CE7349">
            <w:pPr>
              <w:jc w:val="center"/>
              <w:rPr>
                <w:rFonts w:cstheme="minorHAnsi"/>
                <w:color w:val="000000"/>
                <w:sz w:val="24"/>
                <w:szCs w:val="24"/>
              </w:rPr>
            </w:pPr>
            <w:r w:rsidRPr="008F62EC">
              <w:rPr>
                <w:rFonts w:cstheme="minorHAnsi"/>
                <w:color w:val="000000"/>
                <w:sz w:val="24"/>
                <w:szCs w:val="24"/>
              </w:rPr>
              <w:t>Özel Okul sayısı</w:t>
            </w:r>
          </w:p>
        </w:tc>
        <w:tc>
          <w:tcPr>
            <w:tcW w:w="2457" w:type="dxa"/>
            <w:gridSpan w:val="2"/>
          </w:tcPr>
          <w:p w:rsidR="00CE7349" w:rsidRPr="008F62EC" w:rsidRDefault="00CE7349" w:rsidP="00CE7349">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4"/>
                <w:szCs w:val="24"/>
              </w:rPr>
            </w:pPr>
            <w:r w:rsidRPr="008F62EC">
              <w:rPr>
                <w:rFonts w:cstheme="minorHAnsi"/>
                <w:color w:val="000000"/>
                <w:sz w:val="24"/>
                <w:szCs w:val="24"/>
              </w:rPr>
              <w:t>İlköğretim</w:t>
            </w:r>
          </w:p>
          <w:p w:rsidR="00CE7349" w:rsidRPr="008F62EC" w:rsidRDefault="00CE7349" w:rsidP="00CE7349">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4"/>
                <w:szCs w:val="24"/>
              </w:rPr>
            </w:pPr>
            <w:r w:rsidRPr="008F62EC">
              <w:rPr>
                <w:rFonts w:cstheme="minorHAnsi"/>
                <w:color w:val="000000"/>
                <w:sz w:val="24"/>
                <w:szCs w:val="24"/>
              </w:rPr>
              <w:t>Öğrenci Sayısı</w:t>
            </w:r>
          </w:p>
        </w:tc>
        <w:tc>
          <w:tcPr>
            <w:cnfStyle w:val="000100001000" w:firstRow="0" w:lastRow="0" w:firstColumn="0" w:lastColumn="1" w:oddVBand="0" w:evenVBand="0" w:oddHBand="0" w:evenHBand="0" w:firstRowFirstColumn="0" w:firstRowLastColumn="1" w:lastRowFirstColumn="0" w:lastRowLastColumn="0"/>
            <w:tcW w:w="2161" w:type="dxa"/>
            <w:gridSpan w:val="2"/>
          </w:tcPr>
          <w:p w:rsidR="00CE7349" w:rsidRPr="008F62EC" w:rsidRDefault="00CE7349" w:rsidP="00CE7349">
            <w:pPr>
              <w:jc w:val="center"/>
              <w:rPr>
                <w:rFonts w:cstheme="minorHAnsi"/>
                <w:color w:val="000000"/>
                <w:sz w:val="24"/>
                <w:szCs w:val="24"/>
              </w:rPr>
            </w:pPr>
            <w:r w:rsidRPr="008F62EC">
              <w:rPr>
                <w:rFonts w:cstheme="minorHAnsi"/>
                <w:color w:val="000000"/>
                <w:sz w:val="24"/>
                <w:szCs w:val="24"/>
              </w:rPr>
              <w:t>İlköğretim</w:t>
            </w:r>
          </w:p>
          <w:p w:rsidR="00CE7349" w:rsidRPr="008F62EC" w:rsidRDefault="00CE7349" w:rsidP="00CE7349">
            <w:pPr>
              <w:jc w:val="center"/>
              <w:rPr>
                <w:rFonts w:cstheme="minorHAnsi"/>
                <w:color w:val="000000"/>
                <w:sz w:val="24"/>
                <w:szCs w:val="24"/>
              </w:rPr>
            </w:pPr>
            <w:r w:rsidRPr="008F62EC">
              <w:rPr>
                <w:rFonts w:cstheme="minorHAnsi"/>
                <w:color w:val="000000"/>
                <w:sz w:val="24"/>
                <w:szCs w:val="24"/>
              </w:rPr>
              <w:t>Öğretmen Sayısı</w:t>
            </w:r>
          </w:p>
        </w:tc>
      </w:tr>
      <w:tr w:rsidR="00CE7349" w:rsidRPr="007D55B5" w:rsidTr="00CE73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2011/’12</w:t>
            </w:r>
          </w:p>
        </w:tc>
        <w:tc>
          <w:tcPr>
            <w:cnfStyle w:val="000010000000" w:firstRow="0" w:lastRow="0" w:firstColumn="0" w:lastColumn="0" w:oddVBand="1" w:evenVBand="0" w:oddHBand="0" w:evenHBand="0" w:firstRowFirstColumn="0" w:firstRowLastColumn="0" w:lastRowFirstColumn="0" w:lastRowLastColumn="0"/>
            <w:tcW w:w="2112" w:type="dxa"/>
            <w:gridSpan w:val="3"/>
          </w:tcPr>
          <w:p w:rsidR="00CE7349" w:rsidRPr="007D55B5" w:rsidRDefault="00CE7349" w:rsidP="00CE7349">
            <w:pPr>
              <w:jc w:val="center"/>
              <w:rPr>
                <w:rFonts w:cstheme="minorHAnsi"/>
                <w:sz w:val="24"/>
                <w:szCs w:val="24"/>
              </w:rPr>
            </w:pPr>
            <w:r w:rsidRPr="007D55B5">
              <w:rPr>
                <w:rFonts w:cstheme="minorHAnsi"/>
                <w:sz w:val="24"/>
                <w:szCs w:val="24"/>
              </w:rPr>
              <w:t>931</w:t>
            </w:r>
          </w:p>
        </w:tc>
        <w:tc>
          <w:tcPr>
            <w:tcW w:w="2457" w:type="dxa"/>
            <w:gridSpan w:val="2"/>
          </w:tcPr>
          <w:p w:rsidR="00CE7349" w:rsidRPr="007D55B5" w:rsidRDefault="00CE7349" w:rsidP="00CE734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D55B5">
              <w:rPr>
                <w:rFonts w:cstheme="minorHAnsi"/>
                <w:sz w:val="24"/>
                <w:szCs w:val="24"/>
              </w:rPr>
              <w:t>286.972</w:t>
            </w:r>
          </w:p>
        </w:tc>
        <w:tc>
          <w:tcPr>
            <w:cnfStyle w:val="000100000000" w:firstRow="0" w:lastRow="0" w:firstColumn="0" w:lastColumn="1" w:oddVBand="0" w:evenVBand="0" w:oddHBand="0" w:evenHBand="0" w:firstRowFirstColumn="0" w:firstRowLastColumn="0" w:lastRowFirstColumn="0" w:lastRowLastColumn="0"/>
            <w:tcW w:w="2161" w:type="dxa"/>
            <w:gridSpan w:val="2"/>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31.691</w:t>
            </w:r>
          </w:p>
        </w:tc>
      </w:tr>
      <w:tr w:rsidR="00CE7349" w:rsidRPr="007D55B5" w:rsidTr="00CE7349">
        <w:trPr>
          <w:trHeight w:val="170"/>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cstheme="minorHAnsi"/>
                <w:b w:val="0"/>
                <w:bCs w:val="0"/>
                <w:sz w:val="24"/>
                <w:szCs w:val="24"/>
              </w:rPr>
            </w:pPr>
          </w:p>
        </w:tc>
        <w:tc>
          <w:tcPr>
            <w:cnfStyle w:val="000010000000" w:firstRow="0" w:lastRow="0" w:firstColumn="0" w:lastColumn="0" w:oddVBand="1" w:evenVBand="0" w:oddHBand="0" w:evenHBand="0" w:firstRowFirstColumn="0" w:firstRowLastColumn="0" w:lastRowFirstColumn="0" w:lastRowLastColumn="0"/>
            <w:tcW w:w="978" w:type="dxa"/>
          </w:tcPr>
          <w:p w:rsidR="00CE7349" w:rsidRPr="00AD03E3" w:rsidRDefault="00CE7349" w:rsidP="00CE7349">
            <w:pPr>
              <w:jc w:val="center"/>
              <w:rPr>
                <w:rFonts w:cstheme="minorHAnsi"/>
                <w:b/>
                <w:sz w:val="24"/>
                <w:szCs w:val="24"/>
              </w:rPr>
            </w:pPr>
            <w:r w:rsidRPr="00AD03E3">
              <w:rPr>
                <w:rFonts w:cstheme="minorHAnsi"/>
                <w:b/>
                <w:sz w:val="24"/>
                <w:szCs w:val="24"/>
              </w:rPr>
              <w:t>İlkokul</w:t>
            </w:r>
          </w:p>
        </w:tc>
        <w:tc>
          <w:tcPr>
            <w:tcW w:w="1134" w:type="dxa"/>
            <w:gridSpan w:val="2"/>
          </w:tcPr>
          <w:p w:rsidR="00CE7349" w:rsidRPr="00AD03E3"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AD03E3">
              <w:rPr>
                <w:rFonts w:cstheme="minorHAnsi"/>
                <w:b/>
                <w:sz w:val="24"/>
                <w:szCs w:val="24"/>
              </w:rPr>
              <w:t>Ortaokul</w:t>
            </w:r>
          </w:p>
        </w:tc>
        <w:tc>
          <w:tcPr>
            <w:cnfStyle w:val="000010000000" w:firstRow="0" w:lastRow="0" w:firstColumn="0" w:lastColumn="0" w:oddVBand="1" w:evenVBand="0" w:oddHBand="0" w:evenHBand="0" w:firstRowFirstColumn="0" w:firstRowLastColumn="0" w:lastRowFirstColumn="0" w:lastRowLastColumn="0"/>
            <w:tcW w:w="1323" w:type="dxa"/>
          </w:tcPr>
          <w:p w:rsidR="00CE7349" w:rsidRPr="00AD03E3" w:rsidRDefault="00CE7349" w:rsidP="00CE7349">
            <w:pPr>
              <w:jc w:val="center"/>
              <w:rPr>
                <w:rFonts w:cstheme="minorHAnsi"/>
                <w:b/>
                <w:sz w:val="24"/>
                <w:szCs w:val="24"/>
              </w:rPr>
            </w:pPr>
            <w:r w:rsidRPr="00AD03E3">
              <w:rPr>
                <w:rFonts w:cstheme="minorHAnsi"/>
                <w:b/>
                <w:sz w:val="24"/>
                <w:szCs w:val="24"/>
              </w:rPr>
              <w:t>İlkokul</w:t>
            </w:r>
          </w:p>
        </w:tc>
        <w:tc>
          <w:tcPr>
            <w:tcW w:w="1134" w:type="dxa"/>
          </w:tcPr>
          <w:p w:rsidR="00CE7349" w:rsidRPr="00AD03E3"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b/>
                <w:sz w:val="24"/>
                <w:szCs w:val="24"/>
              </w:rPr>
            </w:pPr>
            <w:r w:rsidRPr="00AD03E3">
              <w:rPr>
                <w:rFonts w:cstheme="minorHAnsi"/>
                <w:b/>
                <w:sz w:val="24"/>
                <w:szCs w:val="24"/>
              </w:rPr>
              <w:t>Ortaokul</w:t>
            </w:r>
          </w:p>
        </w:tc>
        <w:tc>
          <w:tcPr>
            <w:cnfStyle w:val="000010000000" w:firstRow="0" w:lastRow="0" w:firstColumn="0" w:lastColumn="0" w:oddVBand="1" w:evenVBand="0" w:oddHBand="0" w:evenHBand="0" w:firstRowFirstColumn="0" w:firstRowLastColumn="0" w:lastRowFirstColumn="0" w:lastRowLastColumn="0"/>
            <w:tcW w:w="934" w:type="dxa"/>
          </w:tcPr>
          <w:p w:rsidR="00CE7349" w:rsidRPr="00AD03E3" w:rsidRDefault="00CE7349" w:rsidP="00CE7349">
            <w:pPr>
              <w:jc w:val="center"/>
              <w:rPr>
                <w:rFonts w:cstheme="minorHAnsi"/>
                <w:b/>
                <w:sz w:val="24"/>
                <w:szCs w:val="24"/>
              </w:rPr>
            </w:pPr>
            <w:r w:rsidRPr="00AD03E3">
              <w:rPr>
                <w:rFonts w:cstheme="minorHAnsi"/>
                <w:b/>
                <w:sz w:val="24"/>
                <w:szCs w:val="24"/>
              </w:rPr>
              <w:t>İlkokul</w:t>
            </w:r>
          </w:p>
        </w:tc>
        <w:tc>
          <w:tcPr>
            <w:cnfStyle w:val="000100000000" w:firstRow="0" w:lastRow="0" w:firstColumn="0" w:lastColumn="1" w:oddVBand="0" w:evenVBand="0" w:oddHBand="0" w:evenHBand="0" w:firstRowFirstColumn="0" w:firstRowLastColumn="0" w:lastRowFirstColumn="0" w:lastRowLastColumn="0"/>
            <w:tcW w:w="1227" w:type="dxa"/>
          </w:tcPr>
          <w:p w:rsidR="00CE7349" w:rsidRPr="00AD03E3" w:rsidRDefault="00CE7349" w:rsidP="00CE7349">
            <w:pPr>
              <w:jc w:val="center"/>
              <w:rPr>
                <w:rFonts w:cstheme="minorHAnsi"/>
                <w:bCs w:val="0"/>
                <w:sz w:val="24"/>
                <w:szCs w:val="24"/>
              </w:rPr>
            </w:pPr>
            <w:r w:rsidRPr="00AD03E3">
              <w:rPr>
                <w:rFonts w:cstheme="minorHAnsi"/>
                <w:bCs w:val="0"/>
                <w:sz w:val="24"/>
                <w:szCs w:val="24"/>
              </w:rPr>
              <w:t>Ortaokul</w:t>
            </w:r>
          </w:p>
        </w:tc>
      </w:tr>
      <w:tr w:rsidR="00CE7349" w:rsidRPr="007D55B5" w:rsidTr="00CE7349">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2012/’13</w:t>
            </w:r>
          </w:p>
        </w:tc>
        <w:tc>
          <w:tcPr>
            <w:cnfStyle w:val="000010000000" w:firstRow="0" w:lastRow="0" w:firstColumn="0" w:lastColumn="0" w:oddVBand="1" w:evenVBand="0" w:oddHBand="0" w:evenHBand="0" w:firstRowFirstColumn="0" w:firstRowLastColumn="0" w:lastRowFirstColumn="0" w:lastRowLastColumn="0"/>
            <w:tcW w:w="978" w:type="dxa"/>
          </w:tcPr>
          <w:p w:rsidR="00CE7349" w:rsidRPr="007D55B5" w:rsidRDefault="00CE7349" w:rsidP="00CE7349">
            <w:pPr>
              <w:jc w:val="center"/>
              <w:rPr>
                <w:rFonts w:cstheme="minorHAnsi"/>
                <w:sz w:val="24"/>
                <w:szCs w:val="24"/>
              </w:rPr>
            </w:pPr>
            <w:r w:rsidRPr="007D55B5">
              <w:rPr>
                <w:rFonts w:cstheme="minorHAnsi"/>
                <w:sz w:val="24"/>
                <w:szCs w:val="24"/>
              </w:rPr>
              <w:t>992</w:t>
            </w:r>
          </w:p>
        </w:tc>
        <w:tc>
          <w:tcPr>
            <w:tcW w:w="1134" w:type="dxa"/>
            <w:gridSpan w:val="2"/>
          </w:tcPr>
          <w:p w:rsidR="00CE7349" w:rsidRPr="007D55B5" w:rsidRDefault="00CE7349" w:rsidP="00CE734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D55B5">
              <w:rPr>
                <w:rFonts w:cstheme="minorHAnsi"/>
                <w:sz w:val="24"/>
                <w:szCs w:val="24"/>
              </w:rPr>
              <w:t>904</w:t>
            </w:r>
          </w:p>
        </w:tc>
        <w:tc>
          <w:tcPr>
            <w:cnfStyle w:val="000010000000" w:firstRow="0" w:lastRow="0" w:firstColumn="0" w:lastColumn="0" w:oddVBand="1" w:evenVBand="0" w:oddHBand="0" w:evenHBand="0" w:firstRowFirstColumn="0" w:firstRowLastColumn="0" w:lastRowFirstColumn="0" w:lastRowLastColumn="0"/>
            <w:tcW w:w="1323" w:type="dxa"/>
          </w:tcPr>
          <w:p w:rsidR="00CE7349" w:rsidRPr="007D55B5" w:rsidRDefault="00CE7349" w:rsidP="00CE7349">
            <w:pPr>
              <w:jc w:val="center"/>
              <w:rPr>
                <w:rFonts w:cstheme="minorHAnsi"/>
                <w:sz w:val="24"/>
                <w:szCs w:val="24"/>
              </w:rPr>
            </w:pPr>
            <w:r w:rsidRPr="007D55B5">
              <w:rPr>
                <w:rFonts w:cstheme="minorHAnsi"/>
                <w:sz w:val="24"/>
                <w:szCs w:val="24"/>
              </w:rPr>
              <w:t>167 381</w:t>
            </w:r>
          </w:p>
        </w:tc>
        <w:tc>
          <w:tcPr>
            <w:tcW w:w="1134" w:type="dxa"/>
          </w:tcPr>
          <w:p w:rsidR="00CE7349" w:rsidRPr="007D55B5" w:rsidRDefault="00CE7349" w:rsidP="00CE734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D55B5">
              <w:rPr>
                <w:rFonts w:cstheme="minorHAnsi"/>
                <w:sz w:val="24"/>
                <w:szCs w:val="24"/>
              </w:rPr>
              <w:t>164 294</w:t>
            </w:r>
          </w:p>
        </w:tc>
        <w:tc>
          <w:tcPr>
            <w:cnfStyle w:val="000010000000" w:firstRow="0" w:lastRow="0" w:firstColumn="0" w:lastColumn="0" w:oddVBand="1" w:evenVBand="0" w:oddHBand="0" w:evenHBand="0" w:firstRowFirstColumn="0" w:firstRowLastColumn="0" w:lastRowFirstColumn="0" w:lastRowLastColumn="0"/>
            <w:tcW w:w="934" w:type="dxa"/>
          </w:tcPr>
          <w:p w:rsidR="00CE7349" w:rsidRPr="007D55B5" w:rsidRDefault="00CE7349" w:rsidP="00CE7349">
            <w:pPr>
              <w:jc w:val="center"/>
              <w:rPr>
                <w:rFonts w:cstheme="minorHAnsi"/>
                <w:sz w:val="24"/>
                <w:szCs w:val="24"/>
              </w:rPr>
            </w:pPr>
            <w:r w:rsidRPr="007D55B5">
              <w:rPr>
                <w:rFonts w:cstheme="minorHAnsi"/>
                <w:sz w:val="24"/>
                <w:szCs w:val="24"/>
              </w:rPr>
              <w:t>20.546</w:t>
            </w:r>
          </w:p>
        </w:tc>
        <w:tc>
          <w:tcPr>
            <w:cnfStyle w:val="000100000000" w:firstRow="0" w:lastRow="0" w:firstColumn="0" w:lastColumn="1" w:oddVBand="0" w:evenVBand="0" w:oddHBand="0" w:evenHBand="0" w:firstRowFirstColumn="0" w:firstRowLastColumn="0" w:lastRowFirstColumn="0" w:lastRowLastColumn="0"/>
            <w:tcW w:w="122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18.926</w:t>
            </w:r>
          </w:p>
        </w:tc>
      </w:tr>
      <w:tr w:rsidR="00CE7349" w:rsidRPr="007D55B5" w:rsidTr="00CE7349">
        <w:trPr>
          <w:trHeight w:val="178"/>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2013/’14</w:t>
            </w:r>
          </w:p>
        </w:tc>
        <w:tc>
          <w:tcPr>
            <w:cnfStyle w:val="000010000000" w:firstRow="0" w:lastRow="0" w:firstColumn="0" w:lastColumn="0" w:oddVBand="1" w:evenVBand="0" w:oddHBand="0" w:evenHBand="0" w:firstRowFirstColumn="0" w:firstRowLastColumn="0" w:lastRowFirstColumn="0" w:lastRowLastColumn="0"/>
            <w:tcW w:w="992" w:type="dxa"/>
            <w:gridSpan w:val="2"/>
          </w:tcPr>
          <w:p w:rsidR="00CE7349" w:rsidRPr="007D55B5" w:rsidRDefault="00CE7349" w:rsidP="00CE7349">
            <w:pPr>
              <w:jc w:val="center"/>
              <w:rPr>
                <w:rFonts w:cstheme="minorHAnsi"/>
                <w:sz w:val="24"/>
                <w:szCs w:val="24"/>
              </w:rPr>
            </w:pPr>
            <w:r w:rsidRPr="007D55B5">
              <w:rPr>
                <w:rFonts w:cstheme="minorHAnsi"/>
                <w:sz w:val="24"/>
                <w:szCs w:val="24"/>
              </w:rPr>
              <w:t>1.071</w:t>
            </w:r>
          </w:p>
        </w:tc>
        <w:tc>
          <w:tcPr>
            <w:tcW w:w="1120" w:type="dxa"/>
          </w:tcPr>
          <w:p w:rsidR="00CE7349" w:rsidRPr="007D55B5"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D55B5">
              <w:rPr>
                <w:rFonts w:cstheme="minorHAnsi"/>
                <w:sz w:val="24"/>
                <w:szCs w:val="24"/>
              </w:rPr>
              <w:t>972</w:t>
            </w:r>
          </w:p>
        </w:tc>
        <w:tc>
          <w:tcPr>
            <w:cnfStyle w:val="000010000000" w:firstRow="0" w:lastRow="0" w:firstColumn="0" w:lastColumn="0" w:oddVBand="1" w:evenVBand="0" w:oddHBand="0" w:evenHBand="0" w:firstRowFirstColumn="0" w:firstRowLastColumn="0" w:lastRowFirstColumn="0" w:lastRowLastColumn="0"/>
            <w:tcW w:w="1323" w:type="dxa"/>
          </w:tcPr>
          <w:p w:rsidR="00CE7349" w:rsidRPr="007D55B5" w:rsidRDefault="00CE7349" w:rsidP="00CE7349">
            <w:pPr>
              <w:jc w:val="center"/>
              <w:rPr>
                <w:rFonts w:cstheme="minorHAnsi"/>
                <w:sz w:val="24"/>
                <w:szCs w:val="24"/>
              </w:rPr>
            </w:pPr>
            <w:r w:rsidRPr="007D55B5">
              <w:rPr>
                <w:rFonts w:cstheme="minorHAnsi"/>
                <w:sz w:val="24"/>
                <w:szCs w:val="24"/>
              </w:rPr>
              <w:t>184 325</w:t>
            </w:r>
          </w:p>
        </w:tc>
        <w:tc>
          <w:tcPr>
            <w:tcW w:w="1134" w:type="dxa"/>
          </w:tcPr>
          <w:p w:rsidR="00CE7349" w:rsidRPr="007D55B5"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D55B5">
              <w:rPr>
                <w:rFonts w:cstheme="minorHAnsi"/>
                <w:sz w:val="24"/>
                <w:szCs w:val="24"/>
              </w:rPr>
              <w:t>182 019</w:t>
            </w:r>
          </w:p>
        </w:tc>
        <w:tc>
          <w:tcPr>
            <w:cnfStyle w:val="000010000000" w:firstRow="0" w:lastRow="0" w:firstColumn="0" w:lastColumn="0" w:oddVBand="1" w:evenVBand="0" w:oddHBand="0" w:evenHBand="0" w:firstRowFirstColumn="0" w:firstRowLastColumn="0" w:lastRowFirstColumn="0" w:lastRowLastColumn="0"/>
            <w:tcW w:w="934" w:type="dxa"/>
          </w:tcPr>
          <w:p w:rsidR="00CE7349" w:rsidRPr="007D55B5" w:rsidRDefault="00CE7349" w:rsidP="00CE7349">
            <w:pPr>
              <w:jc w:val="center"/>
              <w:rPr>
                <w:rFonts w:cstheme="minorHAnsi"/>
                <w:sz w:val="24"/>
                <w:szCs w:val="24"/>
              </w:rPr>
            </w:pPr>
            <w:r w:rsidRPr="007D55B5">
              <w:rPr>
                <w:rFonts w:cstheme="minorHAnsi"/>
                <w:sz w:val="24"/>
                <w:szCs w:val="24"/>
              </w:rPr>
              <w:t>21.273</w:t>
            </w:r>
          </w:p>
        </w:tc>
        <w:tc>
          <w:tcPr>
            <w:cnfStyle w:val="000100000000" w:firstRow="0" w:lastRow="0" w:firstColumn="0" w:lastColumn="1" w:oddVBand="0" w:evenVBand="0" w:oddHBand="0" w:evenHBand="0" w:firstRowFirstColumn="0" w:firstRowLastColumn="0" w:lastRowFirstColumn="0" w:lastRowLastColumn="0"/>
            <w:tcW w:w="122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21.459</w:t>
            </w:r>
          </w:p>
        </w:tc>
      </w:tr>
      <w:tr w:rsidR="00CE7349" w:rsidRPr="007D55B5" w:rsidTr="00CE7349">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2014/’15</w:t>
            </w:r>
          </w:p>
        </w:tc>
        <w:tc>
          <w:tcPr>
            <w:cnfStyle w:val="000010000000" w:firstRow="0" w:lastRow="0" w:firstColumn="0" w:lastColumn="0" w:oddVBand="1" w:evenVBand="0" w:oddHBand="0" w:evenHBand="0" w:firstRowFirstColumn="0" w:firstRowLastColumn="0" w:lastRowFirstColumn="0" w:lastRowLastColumn="0"/>
            <w:tcW w:w="992" w:type="dxa"/>
            <w:gridSpan w:val="2"/>
          </w:tcPr>
          <w:p w:rsidR="00CE7349" w:rsidRPr="007D55B5" w:rsidRDefault="00CE7349" w:rsidP="00CE7349">
            <w:pPr>
              <w:jc w:val="center"/>
              <w:rPr>
                <w:rFonts w:cstheme="minorHAnsi"/>
                <w:sz w:val="24"/>
                <w:szCs w:val="24"/>
              </w:rPr>
            </w:pPr>
            <w:r w:rsidRPr="007D55B5">
              <w:rPr>
                <w:rFonts w:cstheme="minorHAnsi"/>
                <w:sz w:val="24"/>
                <w:szCs w:val="24"/>
              </w:rPr>
              <w:t>1.205</w:t>
            </w:r>
          </w:p>
        </w:tc>
        <w:tc>
          <w:tcPr>
            <w:tcW w:w="1120" w:type="dxa"/>
          </w:tcPr>
          <w:p w:rsidR="00CE7349" w:rsidRPr="007D55B5" w:rsidRDefault="00CE7349" w:rsidP="00CE734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D55B5">
              <w:rPr>
                <w:rFonts w:cstheme="minorHAnsi"/>
                <w:sz w:val="24"/>
                <w:szCs w:val="24"/>
              </w:rPr>
              <w:t>1.111</w:t>
            </w:r>
          </w:p>
        </w:tc>
        <w:tc>
          <w:tcPr>
            <w:cnfStyle w:val="000010000000" w:firstRow="0" w:lastRow="0" w:firstColumn="0" w:lastColumn="0" w:oddVBand="1" w:evenVBand="0" w:oddHBand="0" w:evenHBand="0" w:firstRowFirstColumn="0" w:firstRowLastColumn="0" w:lastRowFirstColumn="0" w:lastRowLastColumn="0"/>
            <w:tcW w:w="1323" w:type="dxa"/>
          </w:tcPr>
          <w:p w:rsidR="00CE7349" w:rsidRPr="007D55B5" w:rsidRDefault="00CE7349" w:rsidP="00CE7349">
            <w:pPr>
              <w:jc w:val="center"/>
              <w:rPr>
                <w:rFonts w:cstheme="minorHAnsi"/>
                <w:sz w:val="24"/>
                <w:szCs w:val="24"/>
              </w:rPr>
            </w:pPr>
            <w:r w:rsidRPr="007D55B5">
              <w:rPr>
                <w:rFonts w:cstheme="minorHAnsi"/>
                <w:sz w:val="24"/>
                <w:szCs w:val="24"/>
              </w:rPr>
              <w:t>203 272</w:t>
            </w:r>
          </w:p>
        </w:tc>
        <w:tc>
          <w:tcPr>
            <w:tcW w:w="1134" w:type="dxa"/>
          </w:tcPr>
          <w:p w:rsidR="00CE7349" w:rsidRPr="007D55B5" w:rsidRDefault="00CE7349" w:rsidP="00CE734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D55B5">
              <w:rPr>
                <w:rFonts w:cstheme="minorHAnsi"/>
                <w:sz w:val="24"/>
                <w:szCs w:val="24"/>
              </w:rPr>
              <w:t>208 424</w:t>
            </w:r>
          </w:p>
        </w:tc>
        <w:tc>
          <w:tcPr>
            <w:cnfStyle w:val="000010000000" w:firstRow="0" w:lastRow="0" w:firstColumn="0" w:lastColumn="0" w:oddVBand="1" w:evenVBand="0" w:oddHBand="0" w:evenHBand="0" w:firstRowFirstColumn="0" w:firstRowLastColumn="0" w:lastRowFirstColumn="0" w:lastRowLastColumn="0"/>
            <w:tcW w:w="934" w:type="dxa"/>
          </w:tcPr>
          <w:p w:rsidR="00CE7349" w:rsidRPr="007D55B5" w:rsidRDefault="00CE7349" w:rsidP="00CE7349">
            <w:pPr>
              <w:jc w:val="center"/>
              <w:rPr>
                <w:rFonts w:cstheme="minorHAnsi"/>
                <w:sz w:val="24"/>
                <w:szCs w:val="24"/>
              </w:rPr>
            </w:pPr>
            <w:r w:rsidRPr="007D55B5">
              <w:rPr>
                <w:rFonts w:cstheme="minorHAnsi"/>
                <w:sz w:val="24"/>
                <w:szCs w:val="24"/>
              </w:rPr>
              <w:t>22.194</w:t>
            </w:r>
          </w:p>
        </w:tc>
        <w:tc>
          <w:tcPr>
            <w:cnfStyle w:val="000100000000" w:firstRow="0" w:lastRow="0" w:firstColumn="0" w:lastColumn="1" w:oddVBand="0" w:evenVBand="0" w:oddHBand="0" w:evenHBand="0" w:firstRowFirstColumn="0" w:firstRowLastColumn="0" w:lastRowFirstColumn="0" w:lastRowLastColumn="0"/>
            <w:tcW w:w="122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23.016</w:t>
            </w:r>
          </w:p>
        </w:tc>
      </w:tr>
      <w:tr w:rsidR="00CE7349" w:rsidRPr="007D55B5" w:rsidTr="00CE7349">
        <w:trPr>
          <w:trHeight w:val="178"/>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2015/’16</w:t>
            </w:r>
          </w:p>
        </w:tc>
        <w:tc>
          <w:tcPr>
            <w:cnfStyle w:val="000010000000" w:firstRow="0" w:lastRow="0" w:firstColumn="0" w:lastColumn="0" w:oddVBand="1" w:evenVBand="0" w:oddHBand="0" w:evenHBand="0" w:firstRowFirstColumn="0" w:firstRowLastColumn="0" w:lastRowFirstColumn="0" w:lastRowLastColumn="0"/>
            <w:tcW w:w="992" w:type="dxa"/>
            <w:gridSpan w:val="2"/>
          </w:tcPr>
          <w:p w:rsidR="00CE7349" w:rsidRPr="007D55B5" w:rsidRDefault="00CE7349" w:rsidP="00CE7349">
            <w:pPr>
              <w:jc w:val="center"/>
              <w:rPr>
                <w:rFonts w:cstheme="minorHAnsi"/>
                <w:bCs/>
                <w:sz w:val="24"/>
                <w:szCs w:val="24"/>
              </w:rPr>
            </w:pPr>
            <w:r w:rsidRPr="007D55B5">
              <w:rPr>
                <w:rFonts w:cstheme="minorHAnsi"/>
                <w:bCs/>
                <w:sz w:val="24"/>
                <w:szCs w:val="24"/>
              </w:rPr>
              <w:t>1.389</w:t>
            </w:r>
          </w:p>
        </w:tc>
        <w:tc>
          <w:tcPr>
            <w:tcW w:w="1120" w:type="dxa"/>
          </w:tcPr>
          <w:p w:rsidR="00CE7349" w:rsidRPr="007D55B5"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7D55B5">
              <w:rPr>
                <w:rFonts w:cstheme="minorHAnsi"/>
                <w:bCs/>
                <w:sz w:val="24"/>
                <w:szCs w:val="24"/>
              </w:rPr>
              <w:t>1.555</w:t>
            </w:r>
          </w:p>
        </w:tc>
        <w:tc>
          <w:tcPr>
            <w:cnfStyle w:val="000010000000" w:firstRow="0" w:lastRow="0" w:firstColumn="0" w:lastColumn="0" w:oddVBand="1" w:evenVBand="0" w:oddHBand="0" w:evenHBand="0" w:firstRowFirstColumn="0" w:firstRowLastColumn="0" w:lastRowFirstColumn="0" w:lastRowLastColumn="0"/>
            <w:tcW w:w="1323" w:type="dxa"/>
          </w:tcPr>
          <w:p w:rsidR="00CE7349" w:rsidRPr="007D55B5" w:rsidRDefault="00CE7349" w:rsidP="00CE7349">
            <w:pPr>
              <w:jc w:val="center"/>
              <w:rPr>
                <w:rFonts w:cstheme="minorHAnsi"/>
                <w:bCs/>
                <w:sz w:val="24"/>
                <w:szCs w:val="24"/>
              </w:rPr>
            </w:pPr>
            <w:r w:rsidRPr="007D55B5">
              <w:rPr>
                <w:rFonts w:cstheme="minorHAnsi"/>
                <w:bCs/>
                <w:sz w:val="24"/>
                <w:szCs w:val="24"/>
              </w:rPr>
              <w:t>232.039</w:t>
            </w:r>
          </w:p>
        </w:tc>
        <w:tc>
          <w:tcPr>
            <w:tcW w:w="1134" w:type="dxa"/>
          </w:tcPr>
          <w:p w:rsidR="00CE7349" w:rsidRPr="007D55B5"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7D55B5">
              <w:rPr>
                <w:rFonts w:cstheme="minorHAnsi"/>
                <w:bCs/>
                <w:sz w:val="24"/>
                <w:szCs w:val="24"/>
              </w:rPr>
              <w:t>278.089</w:t>
            </w:r>
          </w:p>
        </w:tc>
        <w:tc>
          <w:tcPr>
            <w:cnfStyle w:val="000010000000" w:firstRow="0" w:lastRow="0" w:firstColumn="0" w:lastColumn="0" w:oddVBand="1" w:evenVBand="0" w:oddHBand="0" w:evenHBand="0" w:firstRowFirstColumn="0" w:firstRowLastColumn="0" w:lastRowFirstColumn="0" w:lastRowLastColumn="0"/>
            <w:tcW w:w="934" w:type="dxa"/>
          </w:tcPr>
          <w:p w:rsidR="00CE7349" w:rsidRPr="007D55B5" w:rsidRDefault="00CE7349" w:rsidP="00CE7349">
            <w:pPr>
              <w:jc w:val="center"/>
              <w:rPr>
                <w:rFonts w:cstheme="minorHAnsi"/>
                <w:bCs/>
                <w:sz w:val="24"/>
                <w:szCs w:val="24"/>
              </w:rPr>
            </w:pPr>
            <w:r w:rsidRPr="007D55B5">
              <w:rPr>
                <w:rFonts w:cstheme="minorHAnsi"/>
                <w:bCs/>
                <w:sz w:val="24"/>
                <w:szCs w:val="24"/>
              </w:rPr>
              <w:t>25.908</w:t>
            </w:r>
          </w:p>
        </w:tc>
        <w:tc>
          <w:tcPr>
            <w:cnfStyle w:val="000100000000" w:firstRow="0" w:lastRow="0" w:firstColumn="0" w:lastColumn="1" w:oddVBand="0" w:evenVBand="0" w:oddHBand="0" w:evenHBand="0" w:firstRowFirstColumn="0" w:firstRowLastColumn="0" w:lastRowFirstColumn="0" w:lastRowLastColumn="0"/>
            <w:tcW w:w="122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31.288</w:t>
            </w:r>
          </w:p>
        </w:tc>
      </w:tr>
      <w:tr w:rsidR="00CE7349" w:rsidRPr="007D55B5" w:rsidTr="00CE7349">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2016/’17</w:t>
            </w:r>
          </w:p>
        </w:tc>
        <w:tc>
          <w:tcPr>
            <w:cnfStyle w:val="000010000000" w:firstRow="0" w:lastRow="0" w:firstColumn="0" w:lastColumn="0" w:oddVBand="1" w:evenVBand="0" w:oddHBand="0" w:evenHBand="0" w:firstRowFirstColumn="0" w:firstRowLastColumn="0" w:lastRowFirstColumn="0" w:lastRowLastColumn="0"/>
            <w:tcW w:w="992" w:type="dxa"/>
            <w:gridSpan w:val="2"/>
          </w:tcPr>
          <w:p w:rsidR="00CE7349" w:rsidRPr="007D55B5" w:rsidRDefault="00CE7349" w:rsidP="00CE7349">
            <w:pPr>
              <w:jc w:val="center"/>
              <w:rPr>
                <w:rFonts w:cstheme="minorHAnsi"/>
                <w:bCs/>
                <w:sz w:val="24"/>
                <w:szCs w:val="24"/>
              </w:rPr>
            </w:pPr>
            <w:r w:rsidRPr="007D55B5">
              <w:rPr>
                <w:rFonts w:cstheme="minorHAnsi"/>
                <w:bCs/>
                <w:sz w:val="24"/>
                <w:szCs w:val="24"/>
              </w:rPr>
              <w:t>1.324</w:t>
            </w:r>
          </w:p>
        </w:tc>
        <w:tc>
          <w:tcPr>
            <w:tcW w:w="1120" w:type="dxa"/>
          </w:tcPr>
          <w:p w:rsidR="00CE7349" w:rsidRPr="007D55B5" w:rsidRDefault="00CE7349" w:rsidP="00CE7349">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7D55B5">
              <w:rPr>
                <w:rFonts w:cstheme="minorHAnsi"/>
                <w:bCs/>
                <w:sz w:val="24"/>
                <w:szCs w:val="24"/>
              </w:rPr>
              <w:t>1.481</w:t>
            </w:r>
          </w:p>
        </w:tc>
        <w:tc>
          <w:tcPr>
            <w:cnfStyle w:val="000010000000" w:firstRow="0" w:lastRow="0" w:firstColumn="0" w:lastColumn="0" w:oddVBand="1" w:evenVBand="0" w:oddHBand="0" w:evenHBand="0" w:firstRowFirstColumn="0" w:firstRowLastColumn="0" w:lastRowFirstColumn="0" w:lastRowLastColumn="0"/>
            <w:tcW w:w="1323" w:type="dxa"/>
          </w:tcPr>
          <w:p w:rsidR="00CE7349" w:rsidRPr="007D55B5" w:rsidRDefault="00CE7349" w:rsidP="00CE7349">
            <w:pPr>
              <w:jc w:val="center"/>
              <w:rPr>
                <w:rFonts w:cstheme="minorHAnsi"/>
                <w:bCs/>
                <w:sz w:val="24"/>
                <w:szCs w:val="24"/>
              </w:rPr>
            </w:pPr>
            <w:r w:rsidRPr="007D55B5">
              <w:rPr>
                <w:rFonts w:cstheme="minorHAnsi"/>
                <w:bCs/>
                <w:sz w:val="24"/>
                <w:szCs w:val="24"/>
              </w:rPr>
              <w:t>213.113</w:t>
            </w:r>
          </w:p>
        </w:tc>
        <w:tc>
          <w:tcPr>
            <w:tcW w:w="1134" w:type="dxa"/>
          </w:tcPr>
          <w:p w:rsidR="00CE7349" w:rsidRPr="007D55B5" w:rsidRDefault="00CE7349" w:rsidP="00CE7349">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7D55B5">
              <w:rPr>
                <w:rFonts w:cstheme="minorHAnsi"/>
                <w:bCs/>
                <w:sz w:val="24"/>
                <w:szCs w:val="24"/>
              </w:rPr>
              <w:t>288.766</w:t>
            </w:r>
          </w:p>
        </w:tc>
        <w:tc>
          <w:tcPr>
            <w:cnfStyle w:val="000010000000" w:firstRow="0" w:lastRow="0" w:firstColumn="0" w:lastColumn="0" w:oddVBand="1" w:evenVBand="0" w:oddHBand="0" w:evenHBand="0" w:firstRowFirstColumn="0" w:firstRowLastColumn="0" w:lastRowFirstColumn="0" w:lastRowLastColumn="0"/>
            <w:tcW w:w="934" w:type="dxa"/>
          </w:tcPr>
          <w:p w:rsidR="00CE7349" w:rsidRPr="007D55B5" w:rsidRDefault="00CE7349" w:rsidP="00CE7349">
            <w:pPr>
              <w:jc w:val="center"/>
              <w:rPr>
                <w:rFonts w:cstheme="minorHAnsi"/>
                <w:bCs/>
                <w:sz w:val="24"/>
                <w:szCs w:val="24"/>
              </w:rPr>
            </w:pPr>
            <w:r w:rsidRPr="007D55B5">
              <w:rPr>
                <w:rFonts w:cstheme="minorHAnsi"/>
                <w:bCs/>
                <w:sz w:val="24"/>
                <w:szCs w:val="24"/>
              </w:rPr>
              <w:t>23.108</w:t>
            </w:r>
          </w:p>
        </w:tc>
        <w:tc>
          <w:tcPr>
            <w:cnfStyle w:val="000100000000" w:firstRow="0" w:lastRow="0" w:firstColumn="0" w:lastColumn="1" w:oddVBand="0" w:evenVBand="0" w:oddHBand="0" w:evenHBand="0" w:firstRowFirstColumn="0" w:firstRowLastColumn="0" w:lastRowFirstColumn="0" w:lastRowLastColumn="0"/>
            <w:tcW w:w="122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28.775</w:t>
            </w:r>
          </w:p>
        </w:tc>
      </w:tr>
      <w:tr w:rsidR="00CE7349" w:rsidRPr="007D55B5" w:rsidTr="00CE7349">
        <w:trPr>
          <w:trHeight w:val="178"/>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2017/’18</w:t>
            </w:r>
          </w:p>
        </w:tc>
        <w:tc>
          <w:tcPr>
            <w:cnfStyle w:val="000010000000" w:firstRow="0" w:lastRow="0" w:firstColumn="0" w:lastColumn="0" w:oddVBand="1" w:evenVBand="0" w:oddHBand="0" w:evenHBand="0" w:firstRowFirstColumn="0" w:firstRowLastColumn="0" w:lastRowFirstColumn="0" w:lastRowLastColumn="0"/>
            <w:tcW w:w="992" w:type="dxa"/>
            <w:gridSpan w:val="2"/>
          </w:tcPr>
          <w:p w:rsidR="00CE7349" w:rsidRPr="007D55B5" w:rsidRDefault="00CE7349" w:rsidP="00CE7349">
            <w:pPr>
              <w:jc w:val="center"/>
              <w:rPr>
                <w:rFonts w:cstheme="minorHAnsi"/>
                <w:bCs/>
                <w:sz w:val="24"/>
                <w:szCs w:val="24"/>
              </w:rPr>
            </w:pPr>
            <w:r w:rsidRPr="007D55B5">
              <w:rPr>
                <w:rFonts w:cstheme="minorHAnsi"/>
                <w:sz w:val="24"/>
                <w:szCs w:val="24"/>
              </w:rPr>
              <w:t>1.618</w:t>
            </w:r>
          </w:p>
        </w:tc>
        <w:tc>
          <w:tcPr>
            <w:tcW w:w="1120" w:type="dxa"/>
          </w:tcPr>
          <w:p w:rsidR="00CE7349" w:rsidRPr="007D55B5"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7D55B5">
              <w:rPr>
                <w:rFonts w:cstheme="minorHAnsi"/>
                <w:sz w:val="24"/>
                <w:szCs w:val="24"/>
              </w:rPr>
              <w:t>1.869</w:t>
            </w:r>
          </w:p>
        </w:tc>
        <w:tc>
          <w:tcPr>
            <w:cnfStyle w:val="000010000000" w:firstRow="0" w:lastRow="0" w:firstColumn="0" w:lastColumn="0" w:oddVBand="1" w:evenVBand="0" w:oddHBand="0" w:evenHBand="0" w:firstRowFirstColumn="0" w:firstRowLastColumn="0" w:lastRowFirstColumn="0" w:lastRowLastColumn="0"/>
            <w:tcW w:w="1323" w:type="dxa"/>
          </w:tcPr>
          <w:p w:rsidR="00CE7349" w:rsidRPr="007D55B5" w:rsidRDefault="00CE7349" w:rsidP="00CE7349">
            <w:pPr>
              <w:jc w:val="center"/>
              <w:rPr>
                <w:rFonts w:cstheme="minorHAnsi"/>
                <w:bCs/>
                <w:sz w:val="24"/>
                <w:szCs w:val="24"/>
              </w:rPr>
            </w:pPr>
            <w:r w:rsidRPr="007D55B5">
              <w:rPr>
                <w:rFonts w:cstheme="minorHAnsi"/>
                <w:sz w:val="24"/>
                <w:szCs w:val="24"/>
              </w:rPr>
              <w:t>233.740</w:t>
            </w:r>
          </w:p>
        </w:tc>
        <w:tc>
          <w:tcPr>
            <w:tcW w:w="1134" w:type="dxa"/>
          </w:tcPr>
          <w:p w:rsidR="00CE7349" w:rsidRPr="007D55B5"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7D55B5">
              <w:rPr>
                <w:rFonts w:cstheme="minorHAnsi"/>
                <w:sz w:val="24"/>
                <w:szCs w:val="24"/>
              </w:rPr>
              <w:t>321.779</w:t>
            </w:r>
          </w:p>
        </w:tc>
        <w:tc>
          <w:tcPr>
            <w:cnfStyle w:val="000010000000" w:firstRow="0" w:lastRow="0" w:firstColumn="0" w:lastColumn="0" w:oddVBand="1" w:evenVBand="0" w:oddHBand="0" w:evenHBand="0" w:firstRowFirstColumn="0" w:firstRowLastColumn="0" w:lastRowFirstColumn="0" w:lastRowLastColumn="0"/>
            <w:tcW w:w="934" w:type="dxa"/>
          </w:tcPr>
          <w:p w:rsidR="00CE7349" w:rsidRPr="007D55B5" w:rsidRDefault="00CE7349" w:rsidP="00CE7349">
            <w:pPr>
              <w:jc w:val="center"/>
              <w:rPr>
                <w:rFonts w:cstheme="minorHAnsi"/>
                <w:bCs/>
                <w:sz w:val="24"/>
                <w:szCs w:val="24"/>
              </w:rPr>
            </w:pPr>
            <w:r w:rsidRPr="007D55B5">
              <w:rPr>
                <w:rFonts w:cstheme="minorHAnsi"/>
                <w:sz w:val="24"/>
                <w:szCs w:val="24"/>
              </w:rPr>
              <w:t>28.966</w:t>
            </w:r>
          </w:p>
        </w:tc>
        <w:tc>
          <w:tcPr>
            <w:cnfStyle w:val="000100000000" w:firstRow="0" w:lastRow="0" w:firstColumn="0" w:lastColumn="1" w:oddVBand="0" w:evenVBand="0" w:oddHBand="0" w:evenHBand="0" w:firstRowFirstColumn="0" w:firstRowLastColumn="0" w:lastRowFirstColumn="0" w:lastRowLastColumn="0"/>
            <w:tcW w:w="122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37.593</w:t>
            </w:r>
          </w:p>
        </w:tc>
      </w:tr>
      <w:tr w:rsidR="00CE7349" w:rsidRPr="007D55B5" w:rsidTr="00CE7349">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cstheme="minorHAnsi"/>
                <w:b w:val="0"/>
                <w:bCs w:val="0"/>
                <w:sz w:val="24"/>
                <w:szCs w:val="24"/>
              </w:rPr>
            </w:pPr>
            <w:r w:rsidRPr="007D55B5">
              <w:rPr>
                <w:rFonts w:cstheme="minorHAnsi"/>
                <w:b w:val="0"/>
                <w:bCs w:val="0"/>
                <w:sz w:val="24"/>
                <w:szCs w:val="24"/>
              </w:rPr>
              <w:t>2018/’19</w:t>
            </w:r>
          </w:p>
        </w:tc>
        <w:tc>
          <w:tcPr>
            <w:cnfStyle w:val="000010000000" w:firstRow="0" w:lastRow="0" w:firstColumn="0" w:lastColumn="0" w:oddVBand="1" w:evenVBand="0" w:oddHBand="0" w:evenHBand="0" w:firstRowFirstColumn="0" w:firstRowLastColumn="0" w:lastRowFirstColumn="0" w:lastRowLastColumn="0"/>
            <w:tcW w:w="992" w:type="dxa"/>
            <w:gridSpan w:val="2"/>
          </w:tcPr>
          <w:p w:rsidR="00CE7349" w:rsidRPr="007D55B5" w:rsidRDefault="00CE7349" w:rsidP="00CE7349">
            <w:pPr>
              <w:jc w:val="center"/>
              <w:rPr>
                <w:rFonts w:cstheme="minorHAnsi"/>
                <w:sz w:val="24"/>
                <w:szCs w:val="24"/>
              </w:rPr>
            </w:pPr>
            <w:r w:rsidRPr="007D55B5">
              <w:rPr>
                <w:rFonts w:cstheme="minorHAnsi"/>
                <w:sz w:val="24"/>
                <w:szCs w:val="24"/>
              </w:rPr>
              <w:t>1.808</w:t>
            </w:r>
          </w:p>
        </w:tc>
        <w:tc>
          <w:tcPr>
            <w:tcW w:w="1120" w:type="dxa"/>
          </w:tcPr>
          <w:p w:rsidR="00CE7349" w:rsidRPr="007D55B5" w:rsidRDefault="00CE7349" w:rsidP="00CE734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D55B5">
              <w:rPr>
                <w:rFonts w:cstheme="minorHAnsi"/>
                <w:sz w:val="24"/>
                <w:szCs w:val="24"/>
              </w:rPr>
              <w:t>2.060</w:t>
            </w:r>
          </w:p>
        </w:tc>
        <w:tc>
          <w:tcPr>
            <w:cnfStyle w:val="000010000000" w:firstRow="0" w:lastRow="0" w:firstColumn="0" w:lastColumn="0" w:oddVBand="1" w:evenVBand="0" w:oddHBand="0" w:evenHBand="0" w:firstRowFirstColumn="0" w:firstRowLastColumn="0" w:lastRowFirstColumn="0" w:lastRowLastColumn="0"/>
            <w:tcW w:w="1323" w:type="dxa"/>
          </w:tcPr>
          <w:p w:rsidR="00CE7349" w:rsidRPr="007D55B5" w:rsidRDefault="00CE7349" w:rsidP="00CE7349">
            <w:pPr>
              <w:jc w:val="center"/>
              <w:rPr>
                <w:rFonts w:cstheme="minorHAnsi"/>
                <w:sz w:val="24"/>
                <w:szCs w:val="24"/>
              </w:rPr>
            </w:pPr>
            <w:r w:rsidRPr="007D55B5">
              <w:rPr>
                <w:rFonts w:cstheme="minorHAnsi"/>
                <w:sz w:val="24"/>
                <w:szCs w:val="24"/>
              </w:rPr>
              <w:t>262.164</w:t>
            </w:r>
          </w:p>
        </w:tc>
        <w:tc>
          <w:tcPr>
            <w:tcW w:w="1134" w:type="dxa"/>
          </w:tcPr>
          <w:p w:rsidR="00CE7349" w:rsidRPr="007D55B5" w:rsidRDefault="00CE7349" w:rsidP="00CE7349">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7D55B5">
              <w:rPr>
                <w:rFonts w:cstheme="minorHAnsi"/>
                <w:sz w:val="24"/>
                <w:szCs w:val="24"/>
              </w:rPr>
              <w:t>338.046</w:t>
            </w:r>
          </w:p>
        </w:tc>
        <w:tc>
          <w:tcPr>
            <w:cnfStyle w:val="000010000000" w:firstRow="0" w:lastRow="0" w:firstColumn="0" w:lastColumn="0" w:oddVBand="1" w:evenVBand="0" w:oddHBand="0" w:evenHBand="0" w:firstRowFirstColumn="0" w:firstRowLastColumn="0" w:lastRowFirstColumn="0" w:lastRowLastColumn="0"/>
            <w:tcW w:w="934" w:type="dxa"/>
          </w:tcPr>
          <w:p w:rsidR="00CE7349" w:rsidRPr="007D55B5" w:rsidRDefault="00CE7349" w:rsidP="00CE7349">
            <w:pPr>
              <w:jc w:val="center"/>
              <w:rPr>
                <w:rFonts w:cstheme="minorHAnsi"/>
                <w:sz w:val="24"/>
                <w:szCs w:val="24"/>
              </w:rPr>
            </w:pPr>
            <w:r w:rsidRPr="007D55B5">
              <w:rPr>
                <w:rFonts w:cstheme="minorHAnsi"/>
                <w:sz w:val="24"/>
                <w:szCs w:val="24"/>
              </w:rPr>
              <w:t>32.667</w:t>
            </w:r>
          </w:p>
        </w:tc>
        <w:tc>
          <w:tcPr>
            <w:cnfStyle w:val="000100000000" w:firstRow="0" w:lastRow="0" w:firstColumn="0" w:lastColumn="1" w:oddVBand="0" w:evenVBand="0" w:oddHBand="0" w:evenHBand="0" w:firstRowFirstColumn="0" w:firstRowLastColumn="0" w:lastRowFirstColumn="0" w:lastRowLastColumn="0"/>
            <w:tcW w:w="1227" w:type="dxa"/>
          </w:tcPr>
          <w:p w:rsidR="00CE7349" w:rsidRPr="007D55B5" w:rsidRDefault="00CE7349" w:rsidP="00CE7349">
            <w:pPr>
              <w:jc w:val="center"/>
              <w:rPr>
                <w:rFonts w:cstheme="minorHAnsi"/>
                <w:b w:val="0"/>
                <w:sz w:val="24"/>
                <w:szCs w:val="24"/>
              </w:rPr>
            </w:pPr>
            <w:r w:rsidRPr="007D55B5">
              <w:rPr>
                <w:rFonts w:cstheme="minorHAnsi"/>
                <w:b w:val="0"/>
                <w:sz w:val="24"/>
                <w:szCs w:val="24"/>
              </w:rPr>
              <w:t>41.437</w:t>
            </w:r>
          </w:p>
        </w:tc>
      </w:tr>
      <w:tr w:rsidR="00CE7349" w:rsidRPr="007D55B5" w:rsidTr="00CE7349">
        <w:trPr>
          <w:trHeight w:val="178"/>
        </w:trPr>
        <w:tc>
          <w:tcPr>
            <w:cnfStyle w:val="001000000000" w:firstRow="0" w:lastRow="0" w:firstColumn="1" w:lastColumn="0" w:oddVBand="0" w:evenVBand="0" w:oddHBand="0" w:evenHBand="0" w:firstRowFirstColumn="0" w:firstRowLastColumn="0" w:lastRowFirstColumn="0" w:lastRowLastColumn="0"/>
            <w:tcW w:w="1417" w:type="dxa"/>
          </w:tcPr>
          <w:p w:rsidR="00CE7349" w:rsidRPr="007D55B5" w:rsidRDefault="00CE7349" w:rsidP="00CE7349">
            <w:pPr>
              <w:jc w:val="center"/>
              <w:rPr>
                <w:rFonts w:ascii="Calibri" w:hAnsi="Calibri"/>
                <w:b w:val="0"/>
                <w:sz w:val="24"/>
                <w:szCs w:val="24"/>
              </w:rPr>
            </w:pPr>
            <w:r w:rsidRPr="007D55B5">
              <w:rPr>
                <w:rFonts w:ascii="Calibri" w:hAnsi="Calibri"/>
                <w:b w:val="0"/>
                <w:sz w:val="24"/>
                <w:szCs w:val="24"/>
              </w:rPr>
              <w:t>2019/’20</w:t>
            </w:r>
          </w:p>
        </w:tc>
        <w:tc>
          <w:tcPr>
            <w:cnfStyle w:val="000010000000" w:firstRow="0" w:lastRow="0" w:firstColumn="0" w:lastColumn="0" w:oddVBand="1" w:evenVBand="0" w:oddHBand="0" w:evenHBand="0" w:firstRowFirstColumn="0" w:firstRowLastColumn="0" w:lastRowFirstColumn="0" w:lastRowLastColumn="0"/>
            <w:tcW w:w="992" w:type="dxa"/>
            <w:gridSpan w:val="2"/>
          </w:tcPr>
          <w:p w:rsidR="00CE7349" w:rsidRPr="007D55B5" w:rsidRDefault="00CE7349" w:rsidP="00CE7349">
            <w:pPr>
              <w:jc w:val="center"/>
              <w:rPr>
                <w:rFonts w:cstheme="minorHAnsi"/>
                <w:sz w:val="24"/>
                <w:szCs w:val="24"/>
              </w:rPr>
            </w:pPr>
            <w:r w:rsidRPr="007D55B5">
              <w:rPr>
                <w:rFonts w:cstheme="minorHAnsi"/>
                <w:sz w:val="24"/>
                <w:szCs w:val="24"/>
              </w:rPr>
              <w:t>1.982</w:t>
            </w:r>
          </w:p>
        </w:tc>
        <w:tc>
          <w:tcPr>
            <w:tcW w:w="1120" w:type="dxa"/>
          </w:tcPr>
          <w:p w:rsidR="00CE7349" w:rsidRPr="007D55B5"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D55B5">
              <w:rPr>
                <w:rFonts w:cstheme="minorHAnsi"/>
                <w:sz w:val="24"/>
                <w:szCs w:val="24"/>
              </w:rPr>
              <w:t>2.351</w:t>
            </w:r>
          </w:p>
        </w:tc>
        <w:tc>
          <w:tcPr>
            <w:cnfStyle w:val="000010000000" w:firstRow="0" w:lastRow="0" w:firstColumn="0" w:lastColumn="0" w:oddVBand="1" w:evenVBand="0" w:oddHBand="0" w:evenHBand="0" w:firstRowFirstColumn="0" w:firstRowLastColumn="0" w:lastRowFirstColumn="0" w:lastRowLastColumn="0"/>
            <w:tcW w:w="1323" w:type="dxa"/>
          </w:tcPr>
          <w:p w:rsidR="00CE7349" w:rsidRPr="007D55B5" w:rsidRDefault="00CE7349" w:rsidP="00CE7349">
            <w:pPr>
              <w:jc w:val="center"/>
              <w:rPr>
                <w:rFonts w:cstheme="minorHAnsi"/>
                <w:sz w:val="24"/>
                <w:szCs w:val="24"/>
              </w:rPr>
            </w:pPr>
            <w:r w:rsidRPr="007D55B5">
              <w:rPr>
                <w:rFonts w:cstheme="minorHAnsi"/>
                <w:sz w:val="24"/>
                <w:szCs w:val="24"/>
              </w:rPr>
              <w:t>274.018</w:t>
            </w:r>
          </w:p>
        </w:tc>
        <w:tc>
          <w:tcPr>
            <w:tcW w:w="1134" w:type="dxa"/>
          </w:tcPr>
          <w:p w:rsidR="00CE7349" w:rsidRPr="007D55B5" w:rsidRDefault="00CE7349" w:rsidP="00CE7349">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7D55B5">
              <w:rPr>
                <w:rFonts w:cstheme="minorHAnsi"/>
                <w:sz w:val="24"/>
                <w:szCs w:val="24"/>
              </w:rPr>
              <w:t>347.495</w:t>
            </w:r>
          </w:p>
        </w:tc>
        <w:tc>
          <w:tcPr>
            <w:cnfStyle w:val="000010000000" w:firstRow="0" w:lastRow="0" w:firstColumn="0" w:lastColumn="0" w:oddVBand="1" w:evenVBand="0" w:oddHBand="0" w:evenHBand="0" w:firstRowFirstColumn="0" w:firstRowLastColumn="0" w:lastRowFirstColumn="0" w:lastRowLastColumn="0"/>
            <w:tcW w:w="934" w:type="dxa"/>
          </w:tcPr>
          <w:p w:rsidR="00CE7349" w:rsidRPr="007D55B5" w:rsidRDefault="00CE7349" w:rsidP="00CE7349">
            <w:pPr>
              <w:jc w:val="center"/>
              <w:rPr>
                <w:rFonts w:cstheme="minorHAnsi"/>
                <w:sz w:val="24"/>
                <w:szCs w:val="24"/>
              </w:rPr>
            </w:pPr>
            <w:r w:rsidRPr="007D55B5">
              <w:rPr>
                <w:rFonts w:cstheme="minorHAnsi"/>
                <w:sz w:val="24"/>
                <w:szCs w:val="24"/>
              </w:rPr>
              <w:t>33.514</w:t>
            </w:r>
          </w:p>
        </w:tc>
        <w:tc>
          <w:tcPr>
            <w:cnfStyle w:val="000100000000" w:firstRow="0" w:lastRow="0" w:firstColumn="0" w:lastColumn="1" w:oddVBand="0" w:evenVBand="0" w:oddHBand="0" w:evenHBand="0" w:firstRowFirstColumn="0" w:firstRowLastColumn="0" w:lastRowFirstColumn="0" w:lastRowLastColumn="0"/>
            <w:tcW w:w="1227" w:type="dxa"/>
          </w:tcPr>
          <w:p w:rsidR="00CE7349" w:rsidRPr="007D55B5" w:rsidRDefault="00CE7349" w:rsidP="00CE7349">
            <w:pPr>
              <w:jc w:val="center"/>
              <w:rPr>
                <w:rFonts w:cstheme="minorHAnsi"/>
                <w:b w:val="0"/>
                <w:sz w:val="24"/>
                <w:szCs w:val="24"/>
              </w:rPr>
            </w:pPr>
            <w:r w:rsidRPr="007D55B5">
              <w:rPr>
                <w:rFonts w:cstheme="minorHAnsi"/>
                <w:b w:val="0"/>
                <w:sz w:val="24"/>
                <w:szCs w:val="24"/>
              </w:rPr>
              <w:t>42.944</w:t>
            </w:r>
          </w:p>
        </w:tc>
      </w:tr>
      <w:tr w:rsidR="00CE7349" w:rsidRPr="007D55B5" w:rsidTr="00CE7349">
        <w:trPr>
          <w:cnfStyle w:val="010000000000" w:firstRow="0" w:lastRow="1" w:firstColumn="0" w:lastColumn="0" w:oddVBand="0" w:evenVBand="0" w:oddHBand="0" w:evenHBand="0" w:firstRowFirstColumn="0" w:firstRowLastColumn="0" w:lastRowFirstColumn="0" w:lastRowLastColumn="0"/>
          <w:trHeight w:val="178"/>
        </w:trPr>
        <w:tc>
          <w:tcPr>
            <w:cnfStyle w:val="001000000001" w:firstRow="0" w:lastRow="0" w:firstColumn="1" w:lastColumn="0" w:oddVBand="0" w:evenVBand="0" w:oddHBand="0" w:evenHBand="0" w:firstRowFirstColumn="0" w:firstRowLastColumn="0" w:lastRowFirstColumn="1" w:lastRowLastColumn="0"/>
            <w:tcW w:w="1417" w:type="dxa"/>
          </w:tcPr>
          <w:p w:rsidR="00CE7349" w:rsidRPr="007D55B5" w:rsidRDefault="00CE7349" w:rsidP="00CE7349">
            <w:pPr>
              <w:rPr>
                <w:rFonts w:cstheme="minorHAnsi"/>
                <w:b w:val="0"/>
                <w:sz w:val="24"/>
                <w:szCs w:val="24"/>
              </w:rPr>
            </w:pPr>
          </w:p>
        </w:tc>
        <w:tc>
          <w:tcPr>
            <w:cnfStyle w:val="000010000000" w:firstRow="0" w:lastRow="0" w:firstColumn="0" w:lastColumn="0" w:oddVBand="1" w:evenVBand="0" w:oddHBand="0" w:evenHBand="0" w:firstRowFirstColumn="0" w:firstRowLastColumn="0" w:lastRowFirstColumn="0" w:lastRowLastColumn="0"/>
            <w:tcW w:w="2112" w:type="dxa"/>
            <w:gridSpan w:val="3"/>
          </w:tcPr>
          <w:p w:rsidR="00CE7349" w:rsidRPr="00AD03E3" w:rsidRDefault="00CE7349" w:rsidP="00CE7349">
            <w:pPr>
              <w:jc w:val="center"/>
              <w:rPr>
                <w:rFonts w:cstheme="minorHAnsi"/>
                <w:sz w:val="24"/>
                <w:szCs w:val="24"/>
              </w:rPr>
            </w:pPr>
            <w:r w:rsidRPr="00AD03E3">
              <w:rPr>
                <w:rFonts w:cstheme="minorHAnsi"/>
                <w:sz w:val="24"/>
                <w:szCs w:val="24"/>
              </w:rPr>
              <w:t>4.333</w:t>
            </w:r>
          </w:p>
        </w:tc>
        <w:tc>
          <w:tcPr>
            <w:tcW w:w="2457" w:type="dxa"/>
            <w:gridSpan w:val="2"/>
          </w:tcPr>
          <w:p w:rsidR="00CE7349" w:rsidRPr="00AD03E3" w:rsidRDefault="00CE7349" w:rsidP="00CE7349">
            <w:pPr>
              <w:jc w:val="center"/>
              <w:cnfStyle w:val="010000000000" w:firstRow="0" w:lastRow="1" w:firstColumn="0" w:lastColumn="0" w:oddVBand="0" w:evenVBand="0" w:oddHBand="0" w:evenHBand="0" w:firstRowFirstColumn="0" w:firstRowLastColumn="0" w:lastRowFirstColumn="0" w:lastRowLastColumn="0"/>
              <w:rPr>
                <w:rFonts w:cstheme="minorHAnsi"/>
                <w:sz w:val="24"/>
                <w:szCs w:val="24"/>
              </w:rPr>
            </w:pPr>
            <w:r w:rsidRPr="00AD03E3">
              <w:rPr>
                <w:rFonts w:cstheme="minorHAnsi"/>
                <w:sz w:val="24"/>
                <w:szCs w:val="24"/>
              </w:rPr>
              <w:t>621.513</w:t>
            </w:r>
          </w:p>
        </w:tc>
        <w:tc>
          <w:tcPr>
            <w:cnfStyle w:val="000100000010" w:firstRow="0" w:lastRow="0" w:firstColumn="0" w:lastColumn="1" w:oddVBand="0" w:evenVBand="0" w:oddHBand="0" w:evenHBand="0" w:firstRowFirstColumn="0" w:firstRowLastColumn="0" w:lastRowFirstColumn="0" w:lastRowLastColumn="1"/>
            <w:tcW w:w="2161" w:type="dxa"/>
            <w:gridSpan w:val="2"/>
          </w:tcPr>
          <w:p w:rsidR="00CE7349" w:rsidRPr="00AD03E3" w:rsidRDefault="00CE7349" w:rsidP="00CE7349">
            <w:pPr>
              <w:jc w:val="center"/>
              <w:rPr>
                <w:rFonts w:cstheme="minorHAnsi"/>
                <w:sz w:val="24"/>
                <w:szCs w:val="24"/>
              </w:rPr>
            </w:pPr>
            <w:r w:rsidRPr="00AD03E3">
              <w:rPr>
                <w:rFonts w:cstheme="minorHAnsi"/>
                <w:sz w:val="24"/>
                <w:szCs w:val="24"/>
              </w:rPr>
              <w:t>76.458</w:t>
            </w:r>
          </w:p>
        </w:tc>
      </w:tr>
    </w:tbl>
    <w:p w:rsidR="006D2CC2" w:rsidRPr="00C16F24" w:rsidRDefault="006D2CC2" w:rsidP="006D2CC2">
      <w:pPr>
        <w:pStyle w:val="NormalWeb"/>
        <w:shd w:val="clear" w:color="auto" w:fill="FFFFFF"/>
        <w:spacing w:before="0" w:beforeAutospacing="0" w:after="0" w:afterAutospacing="0"/>
        <w:jc w:val="center"/>
        <w:rPr>
          <w:rFonts w:ascii="Calibri" w:hAnsi="Calibri"/>
        </w:rPr>
      </w:pPr>
    </w:p>
    <w:p w:rsidR="006D2CC2" w:rsidRPr="00C16F24" w:rsidRDefault="006D2CC2" w:rsidP="006D2CC2">
      <w:pPr>
        <w:pStyle w:val="NormalWeb"/>
        <w:shd w:val="clear" w:color="auto" w:fill="FFFFFF"/>
        <w:spacing w:before="0" w:beforeAutospacing="0" w:after="0" w:afterAutospacing="0"/>
        <w:jc w:val="center"/>
        <w:rPr>
          <w:rFonts w:ascii="Calibri" w:hAnsi="Calibri"/>
        </w:rPr>
      </w:pPr>
    </w:p>
    <w:p w:rsidR="006D2CC2" w:rsidRPr="00C16F24" w:rsidRDefault="006D2CC2" w:rsidP="006D2CC2">
      <w:pPr>
        <w:pStyle w:val="NormalWeb"/>
        <w:shd w:val="clear" w:color="auto" w:fill="FFFFFF"/>
        <w:spacing w:before="0" w:beforeAutospacing="0" w:after="0" w:afterAutospacing="0"/>
        <w:jc w:val="center"/>
        <w:rPr>
          <w:rFonts w:ascii="Calibri" w:hAnsi="Calibri"/>
          <w:b/>
          <w:bCs/>
        </w:rPr>
      </w:pPr>
    </w:p>
    <w:p w:rsidR="006D2CC2" w:rsidRPr="00C16F24" w:rsidRDefault="006D2CC2" w:rsidP="006D2CC2">
      <w:pPr>
        <w:pStyle w:val="NormalWeb"/>
        <w:shd w:val="clear" w:color="auto" w:fill="FFFFFF"/>
        <w:spacing w:before="0" w:beforeAutospacing="0" w:after="0" w:afterAutospacing="0"/>
        <w:jc w:val="center"/>
        <w:rPr>
          <w:rFonts w:ascii="Calibri" w:hAnsi="Calibri"/>
          <w:b/>
          <w:bCs/>
        </w:rPr>
      </w:pPr>
    </w:p>
    <w:p w:rsidR="006D2CC2" w:rsidRPr="00C16F24" w:rsidRDefault="006D2CC2" w:rsidP="006D2CC2">
      <w:pPr>
        <w:pStyle w:val="NormalWeb"/>
        <w:shd w:val="clear" w:color="auto" w:fill="FFFFFF"/>
        <w:spacing w:before="0" w:beforeAutospacing="0" w:after="0" w:afterAutospacing="0"/>
        <w:jc w:val="center"/>
        <w:rPr>
          <w:rFonts w:ascii="Calibri" w:hAnsi="Calibri"/>
          <w:b/>
          <w:bCs/>
        </w:rPr>
      </w:pPr>
    </w:p>
    <w:p w:rsidR="006D2CC2" w:rsidRPr="00C16F24" w:rsidRDefault="006D2CC2" w:rsidP="006D2CC2">
      <w:pPr>
        <w:ind w:left="-180"/>
        <w:jc w:val="center"/>
        <w:rPr>
          <w:rFonts w:ascii="Calibri" w:hAnsi="Calibri"/>
          <w:b/>
          <w:bCs/>
          <w:sz w:val="24"/>
          <w:szCs w:val="24"/>
        </w:rPr>
      </w:pPr>
    </w:p>
    <w:p w:rsidR="006D2CC2" w:rsidRPr="00C16F24" w:rsidRDefault="006D2CC2" w:rsidP="006D2CC2">
      <w:pPr>
        <w:ind w:left="-180"/>
        <w:jc w:val="center"/>
        <w:rPr>
          <w:rFonts w:ascii="Calibri" w:hAnsi="Calibri"/>
          <w:b/>
          <w:bCs/>
          <w:sz w:val="24"/>
          <w:szCs w:val="24"/>
        </w:rPr>
      </w:pPr>
    </w:p>
    <w:p w:rsidR="006D2CC2" w:rsidRPr="00C16F24" w:rsidRDefault="006D2CC2" w:rsidP="006D2CC2">
      <w:pPr>
        <w:pStyle w:val="NormalWeb"/>
        <w:spacing w:before="0" w:beforeAutospacing="0" w:after="0" w:afterAutospacing="0"/>
        <w:ind w:firstLine="357"/>
        <w:jc w:val="both"/>
        <w:rPr>
          <w:rFonts w:ascii="Calibri" w:hAnsi="Calibri"/>
          <w:bCs/>
          <w:color w:val="000000"/>
        </w:rPr>
      </w:pPr>
    </w:p>
    <w:p w:rsidR="006D2CC2" w:rsidRPr="00C16F24" w:rsidRDefault="006D2CC2" w:rsidP="006D2CC2">
      <w:pPr>
        <w:pStyle w:val="NormalWeb"/>
        <w:spacing w:before="0" w:beforeAutospacing="0" w:after="0" w:afterAutospacing="0"/>
        <w:ind w:firstLine="357"/>
        <w:jc w:val="both"/>
        <w:rPr>
          <w:rFonts w:ascii="Calibri" w:hAnsi="Calibri"/>
          <w:bCs/>
          <w:color w:val="000000"/>
        </w:rPr>
      </w:pPr>
    </w:p>
    <w:p w:rsidR="006D2CC2" w:rsidRPr="00C16F24" w:rsidRDefault="006D2CC2" w:rsidP="006D2CC2">
      <w:pPr>
        <w:pStyle w:val="NormalWeb"/>
        <w:spacing w:before="0" w:beforeAutospacing="0" w:after="0" w:afterAutospacing="0"/>
        <w:ind w:firstLine="357"/>
        <w:jc w:val="both"/>
        <w:rPr>
          <w:rFonts w:ascii="Calibri" w:hAnsi="Calibri"/>
          <w:bCs/>
          <w:color w:val="000000"/>
        </w:rPr>
      </w:pPr>
    </w:p>
    <w:p w:rsidR="006D2CC2" w:rsidRPr="00C16F24" w:rsidRDefault="006D2CC2" w:rsidP="006D2CC2">
      <w:pPr>
        <w:pStyle w:val="NormalWeb"/>
        <w:shd w:val="clear" w:color="auto" w:fill="FFFFFF"/>
        <w:spacing w:before="0" w:beforeAutospacing="0" w:after="0" w:afterAutospacing="0"/>
        <w:ind w:firstLine="360"/>
        <w:jc w:val="both"/>
        <w:rPr>
          <w:rFonts w:ascii="Calibri" w:hAnsi="Calibri"/>
          <w:color w:val="000000"/>
        </w:rPr>
      </w:pPr>
    </w:p>
    <w:p w:rsidR="006D2CC2" w:rsidRPr="00C16F24" w:rsidRDefault="006D2CC2" w:rsidP="006D2CC2">
      <w:pPr>
        <w:pStyle w:val="NormalWeb"/>
        <w:shd w:val="clear" w:color="auto" w:fill="FFFFFF"/>
        <w:spacing w:before="0" w:beforeAutospacing="0" w:after="0" w:afterAutospacing="0"/>
        <w:ind w:firstLine="360"/>
        <w:jc w:val="both"/>
        <w:rPr>
          <w:rFonts w:ascii="Calibri" w:hAnsi="Calibri"/>
          <w:color w:val="000000"/>
        </w:rPr>
      </w:pPr>
    </w:p>
    <w:p w:rsidR="006D2CC2" w:rsidRPr="00C16F24" w:rsidRDefault="006D2CC2" w:rsidP="006D2CC2">
      <w:pPr>
        <w:pStyle w:val="NormalWeb"/>
        <w:shd w:val="clear" w:color="auto" w:fill="FFFFFF"/>
        <w:spacing w:before="0" w:beforeAutospacing="0" w:after="0" w:afterAutospacing="0"/>
        <w:ind w:firstLine="360"/>
        <w:jc w:val="both"/>
        <w:rPr>
          <w:rFonts w:ascii="Calibri" w:hAnsi="Calibri"/>
          <w:color w:val="000000"/>
        </w:rPr>
      </w:pPr>
    </w:p>
    <w:p w:rsidR="006D2CC2" w:rsidRDefault="006D2CC2" w:rsidP="006D2CC2">
      <w:pPr>
        <w:pStyle w:val="NormalWeb"/>
        <w:shd w:val="clear" w:color="auto" w:fill="FFFFFF"/>
        <w:spacing w:before="0" w:beforeAutospacing="0" w:after="0" w:afterAutospacing="0"/>
        <w:ind w:firstLine="360"/>
        <w:jc w:val="both"/>
        <w:rPr>
          <w:rFonts w:ascii="Calibri" w:hAnsi="Calibri"/>
          <w:color w:val="000000"/>
        </w:rPr>
      </w:pPr>
    </w:p>
    <w:p w:rsidR="00CE7349" w:rsidRDefault="00CE7349" w:rsidP="006D2CC2">
      <w:pPr>
        <w:jc w:val="center"/>
        <w:rPr>
          <w:rFonts w:ascii="Calibri" w:hAnsi="Calibri"/>
          <w:b/>
          <w:color w:val="000000" w:themeColor="text1"/>
          <w:sz w:val="24"/>
          <w:szCs w:val="24"/>
        </w:rPr>
      </w:pPr>
    </w:p>
    <w:p w:rsidR="00CE7349" w:rsidRDefault="00CE7349" w:rsidP="006D2CC2">
      <w:pPr>
        <w:jc w:val="center"/>
        <w:rPr>
          <w:rFonts w:ascii="Calibri" w:hAnsi="Calibri"/>
          <w:b/>
          <w:color w:val="000000" w:themeColor="text1"/>
          <w:sz w:val="24"/>
          <w:szCs w:val="24"/>
        </w:rPr>
      </w:pPr>
    </w:p>
    <w:p w:rsidR="006D2CC2" w:rsidRDefault="006D2CC2" w:rsidP="006D2CC2">
      <w:pPr>
        <w:jc w:val="center"/>
        <w:rPr>
          <w:rFonts w:ascii="Calibri" w:hAnsi="Calibri"/>
          <w:b/>
          <w:color w:val="000000" w:themeColor="text1"/>
          <w:sz w:val="24"/>
          <w:szCs w:val="24"/>
        </w:rPr>
      </w:pPr>
      <w:r w:rsidRPr="00FD7DAA">
        <w:rPr>
          <w:rFonts w:ascii="Calibri" w:hAnsi="Calibri"/>
          <w:b/>
          <w:color w:val="000000" w:themeColor="text1"/>
          <w:sz w:val="24"/>
          <w:szCs w:val="24"/>
        </w:rPr>
        <w:t>Özel Ortaöğretimde Okul, Öğrenci ve Öğretmen Sayıları</w:t>
      </w:r>
    </w:p>
    <w:p w:rsidR="006D2CC2" w:rsidRPr="006E4419" w:rsidRDefault="006D2CC2" w:rsidP="006D2CC2">
      <w:pPr>
        <w:jc w:val="center"/>
        <w:rPr>
          <w:rFonts w:ascii="Calibri" w:hAnsi="Calibri"/>
          <w:b/>
          <w:color w:val="000000" w:themeColor="text1"/>
          <w:sz w:val="16"/>
          <w:szCs w:val="24"/>
        </w:rPr>
      </w:pPr>
    </w:p>
    <w:tbl>
      <w:tblPr>
        <w:tblStyle w:val="KlavuzuTablo4-Vurgu2"/>
        <w:tblW w:w="0" w:type="auto"/>
        <w:jc w:val="center"/>
        <w:tblLook w:val="01E0" w:firstRow="1" w:lastRow="1" w:firstColumn="1" w:lastColumn="1" w:noHBand="0" w:noVBand="0"/>
      </w:tblPr>
      <w:tblGrid>
        <w:gridCol w:w="1463"/>
        <w:gridCol w:w="1116"/>
        <w:gridCol w:w="1356"/>
        <w:gridCol w:w="1436"/>
      </w:tblGrid>
      <w:tr w:rsidR="006D2CC2" w:rsidRPr="006D7756" w:rsidTr="00787F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AD03E3" w:rsidRDefault="006D2CC2" w:rsidP="00787F5F">
            <w:pPr>
              <w:jc w:val="center"/>
              <w:rPr>
                <w:rFonts w:cstheme="minorHAnsi"/>
                <w:color w:val="000000"/>
                <w:sz w:val="24"/>
                <w:szCs w:val="24"/>
              </w:rPr>
            </w:pPr>
            <w:r w:rsidRPr="00AD03E3">
              <w:rPr>
                <w:rFonts w:cstheme="minorHAnsi"/>
                <w:color w:val="000000"/>
                <w:sz w:val="24"/>
                <w:szCs w:val="24"/>
              </w:rPr>
              <w:t>Eğitim Yılı</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AD03E3" w:rsidRDefault="006D2CC2" w:rsidP="00787F5F">
            <w:pPr>
              <w:jc w:val="center"/>
              <w:rPr>
                <w:rFonts w:cstheme="minorHAnsi"/>
                <w:color w:val="000000"/>
                <w:sz w:val="24"/>
                <w:szCs w:val="24"/>
              </w:rPr>
            </w:pPr>
            <w:r w:rsidRPr="00AD03E3">
              <w:rPr>
                <w:rFonts w:cstheme="minorHAnsi"/>
                <w:color w:val="000000"/>
                <w:sz w:val="24"/>
                <w:szCs w:val="24"/>
              </w:rPr>
              <w:t>Okul</w:t>
            </w:r>
          </w:p>
        </w:tc>
        <w:tc>
          <w:tcPr>
            <w:tcW w:w="1356" w:type="dxa"/>
          </w:tcPr>
          <w:p w:rsidR="006D2CC2" w:rsidRPr="00AD03E3" w:rsidRDefault="006D2CC2" w:rsidP="00787F5F">
            <w:pPr>
              <w:jc w:val="center"/>
              <w:cnfStyle w:val="100000000000" w:firstRow="1" w:lastRow="0" w:firstColumn="0" w:lastColumn="0" w:oddVBand="0" w:evenVBand="0" w:oddHBand="0" w:evenHBand="0" w:firstRowFirstColumn="0" w:firstRowLastColumn="0" w:lastRowFirstColumn="0" w:lastRowLastColumn="0"/>
              <w:rPr>
                <w:rFonts w:cstheme="minorHAnsi"/>
                <w:color w:val="000000"/>
                <w:sz w:val="24"/>
                <w:szCs w:val="24"/>
              </w:rPr>
            </w:pPr>
            <w:r w:rsidRPr="00AD03E3">
              <w:rPr>
                <w:rFonts w:cstheme="minorHAnsi"/>
                <w:color w:val="000000"/>
                <w:sz w:val="24"/>
                <w:szCs w:val="24"/>
              </w:rPr>
              <w:t>Öğrenci</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AD03E3" w:rsidRDefault="006D2CC2" w:rsidP="00787F5F">
            <w:pPr>
              <w:jc w:val="center"/>
              <w:rPr>
                <w:rFonts w:cstheme="minorHAnsi"/>
                <w:color w:val="000000"/>
                <w:sz w:val="24"/>
                <w:szCs w:val="24"/>
              </w:rPr>
            </w:pPr>
            <w:r w:rsidRPr="00AD03E3">
              <w:rPr>
                <w:rFonts w:cstheme="minorHAnsi"/>
                <w:color w:val="000000"/>
                <w:sz w:val="24"/>
                <w:szCs w:val="24"/>
              </w:rPr>
              <w:t>Öğretmen</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AD03E3" w:rsidRDefault="006D2CC2" w:rsidP="00787F5F">
            <w:pPr>
              <w:jc w:val="center"/>
              <w:rPr>
                <w:rFonts w:cstheme="minorHAnsi"/>
                <w:color w:val="000000"/>
                <w:sz w:val="24"/>
                <w:szCs w:val="24"/>
              </w:rPr>
            </w:pPr>
            <w:r w:rsidRPr="00AD03E3">
              <w:rPr>
                <w:rFonts w:cstheme="minorHAnsi"/>
                <w:color w:val="000000"/>
                <w:sz w:val="24"/>
                <w:szCs w:val="24"/>
              </w:rPr>
              <w:t>2011/’12</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AD03E3" w:rsidRDefault="006D2CC2" w:rsidP="00787F5F">
            <w:pPr>
              <w:jc w:val="center"/>
              <w:rPr>
                <w:rFonts w:cstheme="minorHAnsi"/>
                <w:b/>
                <w:color w:val="000000"/>
                <w:sz w:val="24"/>
                <w:szCs w:val="24"/>
              </w:rPr>
            </w:pPr>
            <w:r w:rsidRPr="00AD03E3">
              <w:rPr>
                <w:rFonts w:cstheme="minorHAnsi"/>
                <w:b/>
                <w:color w:val="000000"/>
                <w:sz w:val="24"/>
                <w:szCs w:val="24"/>
              </w:rPr>
              <w:t>885</w:t>
            </w:r>
          </w:p>
        </w:tc>
        <w:tc>
          <w:tcPr>
            <w:tcW w:w="1356" w:type="dxa"/>
          </w:tcPr>
          <w:p w:rsidR="006D2CC2" w:rsidRPr="00AD03E3"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4"/>
                <w:szCs w:val="24"/>
              </w:rPr>
            </w:pPr>
            <w:r w:rsidRPr="00AD03E3">
              <w:rPr>
                <w:rFonts w:cstheme="minorHAnsi"/>
                <w:b/>
                <w:color w:val="000000"/>
                <w:sz w:val="24"/>
                <w:szCs w:val="24"/>
              </w:rPr>
              <w:t>138.164</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AD03E3" w:rsidRDefault="006D2CC2" w:rsidP="00787F5F">
            <w:pPr>
              <w:jc w:val="center"/>
              <w:rPr>
                <w:rFonts w:cstheme="minorHAnsi"/>
                <w:color w:val="000000"/>
                <w:sz w:val="24"/>
                <w:szCs w:val="24"/>
              </w:rPr>
            </w:pPr>
            <w:r w:rsidRPr="00AD03E3">
              <w:rPr>
                <w:rFonts w:cstheme="minorHAnsi"/>
                <w:color w:val="000000"/>
                <w:sz w:val="24"/>
                <w:szCs w:val="24"/>
              </w:rPr>
              <w:t>19.386</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2012/’13</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6D7756" w:rsidRDefault="006D2CC2" w:rsidP="00787F5F">
            <w:pPr>
              <w:jc w:val="center"/>
              <w:rPr>
                <w:rFonts w:cstheme="minorHAnsi"/>
                <w:sz w:val="24"/>
                <w:szCs w:val="24"/>
              </w:rPr>
            </w:pPr>
            <w:r w:rsidRPr="006D7756">
              <w:rPr>
                <w:rFonts w:cstheme="minorHAnsi"/>
                <w:sz w:val="24"/>
                <w:szCs w:val="24"/>
              </w:rPr>
              <w:t>1.033</w:t>
            </w:r>
          </w:p>
        </w:tc>
        <w:tc>
          <w:tcPr>
            <w:tcW w:w="135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7756">
              <w:rPr>
                <w:rFonts w:cstheme="minorHAnsi"/>
                <w:sz w:val="24"/>
                <w:szCs w:val="24"/>
              </w:rPr>
              <w:t>156.665</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22.378</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2013/’14</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6D7756" w:rsidRDefault="006D2CC2" w:rsidP="00787F5F">
            <w:pPr>
              <w:jc w:val="center"/>
              <w:rPr>
                <w:rFonts w:cstheme="minorHAnsi"/>
                <w:sz w:val="24"/>
                <w:szCs w:val="24"/>
              </w:rPr>
            </w:pPr>
            <w:r w:rsidRPr="006D7756">
              <w:rPr>
                <w:rFonts w:cstheme="minorHAnsi"/>
                <w:sz w:val="24"/>
                <w:szCs w:val="24"/>
              </w:rPr>
              <w:t>1.433</w:t>
            </w:r>
          </w:p>
        </w:tc>
        <w:tc>
          <w:tcPr>
            <w:tcW w:w="135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7756">
              <w:rPr>
                <w:rFonts w:cstheme="minorHAnsi"/>
                <w:sz w:val="24"/>
                <w:szCs w:val="24"/>
              </w:rPr>
              <w:t>196.663</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29.040</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2014/’15</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6D7756" w:rsidRDefault="006D2CC2" w:rsidP="00787F5F">
            <w:pPr>
              <w:jc w:val="center"/>
              <w:rPr>
                <w:rFonts w:cstheme="minorHAnsi"/>
                <w:sz w:val="24"/>
                <w:szCs w:val="24"/>
              </w:rPr>
            </w:pPr>
            <w:r w:rsidRPr="006D7756">
              <w:rPr>
                <w:rFonts w:cstheme="minorHAnsi"/>
                <w:sz w:val="24"/>
                <w:szCs w:val="24"/>
              </w:rPr>
              <w:t>1.603</w:t>
            </w:r>
          </w:p>
        </w:tc>
        <w:tc>
          <w:tcPr>
            <w:tcW w:w="135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7756">
              <w:rPr>
                <w:rFonts w:cstheme="minorHAnsi"/>
                <w:sz w:val="24"/>
                <w:szCs w:val="24"/>
              </w:rPr>
              <w:t>240.171</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31.113</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2015/’16</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6D7756" w:rsidRDefault="006D2CC2" w:rsidP="00787F5F">
            <w:pPr>
              <w:jc w:val="center"/>
              <w:rPr>
                <w:rFonts w:cstheme="minorHAnsi"/>
                <w:bCs/>
                <w:sz w:val="24"/>
                <w:szCs w:val="24"/>
              </w:rPr>
            </w:pPr>
            <w:r w:rsidRPr="006D7756">
              <w:rPr>
                <w:rFonts w:cstheme="minorHAnsi"/>
                <w:bCs/>
                <w:sz w:val="24"/>
                <w:szCs w:val="24"/>
              </w:rPr>
              <w:t>2.504</w:t>
            </w:r>
          </w:p>
        </w:tc>
        <w:tc>
          <w:tcPr>
            <w:tcW w:w="135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bCs/>
                <w:sz w:val="24"/>
                <w:szCs w:val="24"/>
              </w:rPr>
            </w:pPr>
            <w:r w:rsidRPr="006D7756">
              <w:rPr>
                <w:rFonts w:cstheme="minorHAnsi"/>
                <w:bCs/>
                <w:sz w:val="24"/>
                <w:szCs w:val="24"/>
              </w:rPr>
              <w:t>373.394</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49.898</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2016/’17</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6D7756" w:rsidRDefault="006D2CC2" w:rsidP="00787F5F">
            <w:pPr>
              <w:jc w:val="center"/>
              <w:rPr>
                <w:rFonts w:cstheme="minorHAnsi"/>
                <w:bCs/>
                <w:sz w:val="24"/>
                <w:szCs w:val="24"/>
              </w:rPr>
            </w:pPr>
            <w:r w:rsidRPr="006D7756">
              <w:rPr>
                <w:rFonts w:cstheme="minorHAnsi"/>
                <w:bCs/>
                <w:sz w:val="24"/>
                <w:szCs w:val="24"/>
              </w:rPr>
              <w:t>2.618</w:t>
            </w:r>
          </w:p>
        </w:tc>
        <w:tc>
          <w:tcPr>
            <w:tcW w:w="135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bCs/>
                <w:sz w:val="24"/>
                <w:szCs w:val="24"/>
              </w:rPr>
            </w:pPr>
            <w:r w:rsidRPr="006D7756">
              <w:rPr>
                <w:rFonts w:cstheme="minorHAnsi"/>
                <w:bCs/>
                <w:sz w:val="24"/>
                <w:szCs w:val="24"/>
              </w:rPr>
              <w:t>514.480</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6D7756" w:rsidRDefault="006D2CC2" w:rsidP="00787F5F">
            <w:pPr>
              <w:jc w:val="center"/>
              <w:rPr>
                <w:rFonts w:cstheme="minorHAnsi"/>
                <w:b w:val="0"/>
                <w:bCs w:val="0"/>
                <w:sz w:val="24"/>
                <w:szCs w:val="24"/>
              </w:rPr>
            </w:pPr>
            <w:r w:rsidRPr="006D7756">
              <w:rPr>
                <w:rFonts w:cstheme="minorHAnsi"/>
                <w:b w:val="0"/>
                <w:bCs w:val="0"/>
                <w:sz w:val="24"/>
                <w:szCs w:val="24"/>
              </w:rPr>
              <w:t>52.569</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6D7756" w:rsidRDefault="006D2CC2" w:rsidP="00787F5F">
            <w:pPr>
              <w:jc w:val="center"/>
              <w:rPr>
                <w:rFonts w:cstheme="minorHAnsi"/>
                <w:b w:val="0"/>
                <w:sz w:val="24"/>
                <w:szCs w:val="24"/>
              </w:rPr>
            </w:pPr>
            <w:r w:rsidRPr="006D7756">
              <w:rPr>
                <w:rFonts w:cstheme="minorHAnsi"/>
                <w:b w:val="0"/>
                <w:bCs w:val="0"/>
                <w:sz w:val="24"/>
                <w:szCs w:val="24"/>
              </w:rPr>
              <w:t>2017/’18</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6D7756" w:rsidRDefault="006D2CC2" w:rsidP="00787F5F">
            <w:pPr>
              <w:jc w:val="center"/>
              <w:rPr>
                <w:rFonts w:cstheme="minorHAnsi"/>
                <w:sz w:val="24"/>
                <w:szCs w:val="24"/>
              </w:rPr>
            </w:pPr>
            <w:r w:rsidRPr="006D7756">
              <w:rPr>
                <w:rFonts w:cstheme="minorHAnsi"/>
                <w:sz w:val="24"/>
                <w:szCs w:val="24"/>
              </w:rPr>
              <w:t>2.989</w:t>
            </w:r>
          </w:p>
        </w:tc>
        <w:tc>
          <w:tcPr>
            <w:tcW w:w="135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D7756">
              <w:rPr>
                <w:rFonts w:cstheme="minorHAnsi"/>
                <w:sz w:val="24"/>
                <w:szCs w:val="24"/>
              </w:rPr>
              <w:t>559.838</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6D7756" w:rsidRDefault="006D2CC2" w:rsidP="00787F5F">
            <w:pPr>
              <w:jc w:val="center"/>
              <w:rPr>
                <w:rFonts w:cstheme="minorHAnsi"/>
                <w:b w:val="0"/>
                <w:sz w:val="24"/>
                <w:szCs w:val="24"/>
              </w:rPr>
            </w:pPr>
            <w:r w:rsidRPr="006D7756">
              <w:rPr>
                <w:rFonts w:cstheme="minorHAnsi"/>
                <w:b w:val="0"/>
                <w:sz w:val="24"/>
                <w:szCs w:val="24"/>
              </w:rPr>
              <w:t>63.451</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6D7756" w:rsidRDefault="006D2CC2" w:rsidP="00787F5F">
            <w:pPr>
              <w:jc w:val="center"/>
              <w:rPr>
                <w:rFonts w:cstheme="minorHAnsi"/>
                <w:b w:val="0"/>
                <w:sz w:val="24"/>
                <w:szCs w:val="24"/>
              </w:rPr>
            </w:pPr>
            <w:r w:rsidRPr="006D7756">
              <w:rPr>
                <w:rFonts w:cstheme="minorHAnsi"/>
                <w:b w:val="0"/>
                <w:bCs w:val="0"/>
                <w:sz w:val="24"/>
                <w:szCs w:val="24"/>
              </w:rPr>
              <w:t>2018/’19</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6D7756" w:rsidRDefault="006D2CC2" w:rsidP="00787F5F">
            <w:pPr>
              <w:jc w:val="center"/>
              <w:rPr>
                <w:rFonts w:cstheme="minorHAnsi"/>
                <w:sz w:val="24"/>
                <w:szCs w:val="24"/>
              </w:rPr>
            </w:pPr>
            <w:r w:rsidRPr="006D7756">
              <w:rPr>
                <w:rFonts w:cstheme="minorHAnsi"/>
                <w:sz w:val="24"/>
                <w:szCs w:val="24"/>
              </w:rPr>
              <w:t>3.589</w:t>
            </w:r>
          </w:p>
        </w:tc>
        <w:tc>
          <w:tcPr>
            <w:tcW w:w="135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D7756">
              <w:rPr>
                <w:rFonts w:cstheme="minorHAnsi"/>
                <w:sz w:val="24"/>
                <w:szCs w:val="24"/>
              </w:rPr>
              <w:t>581.693</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6D7756" w:rsidRDefault="006D2CC2" w:rsidP="00787F5F">
            <w:pPr>
              <w:jc w:val="center"/>
              <w:rPr>
                <w:rFonts w:cstheme="minorHAnsi"/>
                <w:b w:val="0"/>
                <w:sz w:val="24"/>
                <w:szCs w:val="24"/>
              </w:rPr>
            </w:pPr>
            <w:r w:rsidRPr="006D7756">
              <w:rPr>
                <w:rFonts w:cstheme="minorHAnsi"/>
                <w:b w:val="0"/>
                <w:sz w:val="24"/>
                <w:szCs w:val="24"/>
              </w:rPr>
              <w:t>74.572</w:t>
            </w:r>
          </w:p>
        </w:tc>
      </w:tr>
      <w:tr w:rsidR="006D2CC2" w:rsidRPr="006D7756" w:rsidTr="00787F5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3" w:type="dxa"/>
          </w:tcPr>
          <w:p w:rsidR="006D2CC2" w:rsidRPr="00AD03E3" w:rsidRDefault="006D2CC2" w:rsidP="00787F5F">
            <w:pPr>
              <w:jc w:val="center"/>
              <w:rPr>
                <w:rFonts w:ascii="Calibri" w:hAnsi="Calibri"/>
                <w:sz w:val="24"/>
                <w:szCs w:val="24"/>
              </w:rPr>
            </w:pPr>
            <w:r w:rsidRPr="00AD03E3">
              <w:rPr>
                <w:rFonts w:ascii="Calibri" w:hAnsi="Calibri"/>
                <w:sz w:val="24"/>
                <w:szCs w:val="24"/>
              </w:rPr>
              <w:t>2019/’20</w:t>
            </w:r>
          </w:p>
        </w:tc>
        <w:tc>
          <w:tcPr>
            <w:cnfStyle w:val="000010000000" w:firstRow="0" w:lastRow="0" w:firstColumn="0" w:lastColumn="0" w:oddVBand="1" w:evenVBand="0" w:oddHBand="0" w:evenHBand="0" w:firstRowFirstColumn="0" w:firstRowLastColumn="0" w:lastRowFirstColumn="0" w:lastRowLastColumn="0"/>
            <w:tcW w:w="1116" w:type="dxa"/>
          </w:tcPr>
          <w:p w:rsidR="006D2CC2" w:rsidRPr="00AD03E3" w:rsidRDefault="006D2CC2" w:rsidP="00787F5F">
            <w:pPr>
              <w:jc w:val="center"/>
              <w:rPr>
                <w:rFonts w:cstheme="minorHAnsi"/>
                <w:sz w:val="24"/>
                <w:szCs w:val="24"/>
              </w:rPr>
            </w:pPr>
            <w:r w:rsidRPr="00AD03E3">
              <w:rPr>
                <w:rFonts w:cstheme="minorHAnsi"/>
                <w:sz w:val="24"/>
                <w:szCs w:val="24"/>
              </w:rPr>
              <w:t>3.882</w:t>
            </w:r>
          </w:p>
        </w:tc>
        <w:tc>
          <w:tcPr>
            <w:tcW w:w="1356" w:type="dxa"/>
          </w:tcPr>
          <w:p w:rsidR="006D2CC2" w:rsidRPr="00AD03E3" w:rsidRDefault="006D2CC2" w:rsidP="00787F5F">
            <w:pPr>
              <w:jc w:val="center"/>
              <w:cnfStyle w:val="010000000000" w:firstRow="0" w:lastRow="1" w:firstColumn="0" w:lastColumn="0" w:oddVBand="0" w:evenVBand="0" w:oddHBand="0" w:evenHBand="0" w:firstRowFirstColumn="0" w:firstRowLastColumn="0" w:lastRowFirstColumn="0" w:lastRowLastColumn="0"/>
              <w:rPr>
                <w:rFonts w:cstheme="minorHAnsi"/>
                <w:sz w:val="24"/>
                <w:szCs w:val="24"/>
              </w:rPr>
            </w:pPr>
            <w:r w:rsidRPr="00AD03E3">
              <w:rPr>
                <w:rFonts w:cstheme="minorHAnsi"/>
                <w:sz w:val="24"/>
                <w:szCs w:val="24"/>
              </w:rPr>
              <w:t>557.472</w:t>
            </w:r>
          </w:p>
        </w:tc>
        <w:tc>
          <w:tcPr>
            <w:cnfStyle w:val="000100000000" w:firstRow="0" w:lastRow="0" w:firstColumn="0" w:lastColumn="1" w:oddVBand="0" w:evenVBand="0" w:oddHBand="0" w:evenHBand="0" w:firstRowFirstColumn="0" w:firstRowLastColumn="0" w:lastRowFirstColumn="0" w:lastRowLastColumn="0"/>
            <w:tcW w:w="1436" w:type="dxa"/>
          </w:tcPr>
          <w:p w:rsidR="006D2CC2" w:rsidRPr="00AD03E3" w:rsidRDefault="006D2CC2" w:rsidP="00787F5F">
            <w:pPr>
              <w:jc w:val="center"/>
              <w:rPr>
                <w:rFonts w:cstheme="minorHAnsi"/>
                <w:sz w:val="24"/>
                <w:szCs w:val="24"/>
              </w:rPr>
            </w:pPr>
            <w:r w:rsidRPr="00AD03E3">
              <w:rPr>
                <w:rFonts w:cstheme="minorHAnsi"/>
                <w:sz w:val="24"/>
                <w:szCs w:val="24"/>
              </w:rPr>
              <w:t>75.576</w:t>
            </w:r>
          </w:p>
        </w:tc>
      </w:tr>
    </w:tbl>
    <w:p w:rsidR="006D2CC2" w:rsidRPr="004E2757" w:rsidRDefault="006D2CC2" w:rsidP="006D2CC2">
      <w:pPr>
        <w:jc w:val="center"/>
        <w:rPr>
          <w:rFonts w:eastAsia="Arial Unicode MS" w:cstheme="minorHAnsi"/>
          <w:b/>
          <w:szCs w:val="16"/>
        </w:rPr>
      </w:pPr>
    </w:p>
    <w:p w:rsidR="006D2CC2" w:rsidRPr="006D7756" w:rsidRDefault="006D2CC2" w:rsidP="006D2CC2">
      <w:pPr>
        <w:ind w:firstLine="360"/>
        <w:rPr>
          <w:rFonts w:ascii="Calibri" w:eastAsia="Arial Unicode MS" w:hAnsi="Calibri"/>
          <w:sz w:val="24"/>
          <w:szCs w:val="24"/>
        </w:rPr>
      </w:pPr>
      <w:r>
        <w:rPr>
          <w:rFonts w:ascii="Calibri" w:eastAsia="Arial Unicode MS" w:hAnsi="Calibri"/>
          <w:sz w:val="24"/>
          <w:szCs w:val="24"/>
        </w:rPr>
        <w:t>E</w:t>
      </w:r>
      <w:r w:rsidRPr="006D7756">
        <w:rPr>
          <w:rFonts w:ascii="Calibri" w:eastAsia="Arial Unicode MS" w:hAnsi="Calibri"/>
          <w:sz w:val="24"/>
          <w:szCs w:val="24"/>
        </w:rPr>
        <w:t>ğitimde 4+4+4 öncesinde Türkiye’de sadece 885 özel lise varken, son sekiz yıl içinde tamamen hükümet ve MEB iş</w:t>
      </w:r>
      <w:r w:rsidR="000C388A">
        <w:rPr>
          <w:rFonts w:ascii="Calibri" w:eastAsia="Arial Unicode MS" w:hAnsi="Calibri"/>
          <w:sz w:val="24"/>
          <w:szCs w:val="24"/>
        </w:rPr>
        <w:t xml:space="preserve"> </w:t>
      </w:r>
      <w:r w:rsidRPr="006D7756">
        <w:rPr>
          <w:rFonts w:ascii="Calibri" w:eastAsia="Arial Unicode MS" w:hAnsi="Calibri"/>
          <w:sz w:val="24"/>
          <w:szCs w:val="24"/>
        </w:rPr>
        <w:t>birliğiyle özel lise sayısı tam 4 kattan fazla artmıştır. Benzer bir şekilde 4+4+4 öncesinde özel liselere giden öğrenci sayısı 138 bin 164 iken</w:t>
      </w:r>
      <w:r w:rsidR="000C388A">
        <w:rPr>
          <w:rFonts w:ascii="Calibri" w:eastAsia="Arial Unicode MS" w:hAnsi="Calibri"/>
          <w:sz w:val="24"/>
          <w:szCs w:val="24"/>
        </w:rPr>
        <w:t>,</w:t>
      </w:r>
      <w:r w:rsidRPr="006D7756">
        <w:rPr>
          <w:rFonts w:ascii="Calibri" w:eastAsia="Arial Unicode MS" w:hAnsi="Calibri"/>
          <w:sz w:val="24"/>
          <w:szCs w:val="24"/>
        </w:rPr>
        <w:t xml:space="preserve"> aradan geçen süre içinde </w:t>
      </w:r>
      <w:r w:rsidR="001D192B">
        <w:rPr>
          <w:rFonts w:ascii="Calibri" w:eastAsia="Arial Unicode MS" w:hAnsi="Calibri"/>
          <w:sz w:val="24"/>
          <w:szCs w:val="24"/>
        </w:rPr>
        <w:t xml:space="preserve">bu sayı </w:t>
      </w:r>
      <w:r w:rsidRPr="006D7756">
        <w:rPr>
          <w:rFonts w:ascii="Calibri" w:eastAsia="Arial Unicode MS" w:hAnsi="Calibri"/>
          <w:sz w:val="24"/>
          <w:szCs w:val="24"/>
        </w:rPr>
        <w:t>4 kat artış göster</w:t>
      </w:r>
      <w:r>
        <w:rPr>
          <w:rFonts w:ascii="Calibri" w:eastAsia="Arial Unicode MS" w:hAnsi="Calibri"/>
          <w:sz w:val="24"/>
          <w:szCs w:val="24"/>
        </w:rPr>
        <w:t xml:space="preserve">erek 557 bin 472’ye yükselmiştir. </w:t>
      </w:r>
    </w:p>
    <w:p w:rsidR="00D95744" w:rsidRDefault="00D95744" w:rsidP="006D2CC2">
      <w:pPr>
        <w:pStyle w:val="NormalWeb"/>
        <w:spacing w:before="0" w:beforeAutospacing="0" w:after="0" w:afterAutospacing="0"/>
        <w:ind w:firstLine="357"/>
        <w:jc w:val="both"/>
        <w:rPr>
          <w:rFonts w:ascii="Calibri" w:hAnsi="Calibri"/>
          <w:color w:val="000000"/>
        </w:rPr>
      </w:pPr>
    </w:p>
    <w:p w:rsidR="006D2CC2" w:rsidRDefault="006D2CC2" w:rsidP="006D2CC2">
      <w:pPr>
        <w:pStyle w:val="NormalWeb"/>
        <w:shd w:val="clear" w:color="auto" w:fill="FFFFFF"/>
        <w:spacing w:before="0" w:beforeAutospacing="0" w:after="0" w:afterAutospacing="0"/>
        <w:jc w:val="center"/>
        <w:rPr>
          <w:rFonts w:ascii="Calibri" w:hAnsi="Calibri"/>
          <w:b/>
          <w:color w:val="000000" w:themeColor="text1"/>
        </w:rPr>
      </w:pPr>
      <w:r w:rsidRPr="00FD7DAA">
        <w:rPr>
          <w:rFonts w:ascii="Calibri" w:hAnsi="Calibri"/>
          <w:b/>
          <w:color w:val="000000" w:themeColor="text1"/>
        </w:rPr>
        <w:t>Özel Mesleki ve Teknik Ortaöğretimde Okul, Öğrenci ve Öğretmen Sayısı</w:t>
      </w:r>
    </w:p>
    <w:p w:rsidR="006D2CC2" w:rsidRPr="006E4419" w:rsidRDefault="006D2CC2" w:rsidP="006D2CC2">
      <w:pPr>
        <w:pStyle w:val="NormalWeb"/>
        <w:shd w:val="clear" w:color="auto" w:fill="FFFFFF"/>
        <w:spacing w:before="0" w:beforeAutospacing="0" w:after="0" w:afterAutospacing="0"/>
        <w:jc w:val="center"/>
        <w:rPr>
          <w:rFonts w:ascii="Calibri" w:hAnsi="Calibri"/>
          <w:b/>
          <w:color w:val="000000" w:themeColor="text1"/>
          <w:sz w:val="16"/>
        </w:rPr>
      </w:pPr>
    </w:p>
    <w:tbl>
      <w:tblPr>
        <w:tblStyle w:val="KlavuzuTablo4-Vurgu2"/>
        <w:tblW w:w="0" w:type="auto"/>
        <w:jc w:val="center"/>
        <w:tblLook w:val="04A0" w:firstRow="1" w:lastRow="0" w:firstColumn="1" w:lastColumn="0" w:noHBand="0" w:noVBand="1"/>
      </w:tblPr>
      <w:tblGrid>
        <w:gridCol w:w="1319"/>
        <w:gridCol w:w="2677"/>
        <w:gridCol w:w="1686"/>
        <w:gridCol w:w="1984"/>
      </w:tblGrid>
      <w:tr w:rsidR="006D2CC2" w:rsidRPr="006D7756" w:rsidTr="00787F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AD03E3" w:rsidRDefault="006D2CC2" w:rsidP="00787F5F">
            <w:pPr>
              <w:rPr>
                <w:rFonts w:cstheme="minorHAnsi"/>
                <w:bCs w:val="0"/>
                <w:color w:val="000000"/>
                <w:sz w:val="16"/>
                <w:szCs w:val="16"/>
              </w:rPr>
            </w:pPr>
          </w:p>
          <w:p w:rsidR="006D2CC2" w:rsidRDefault="006D2CC2" w:rsidP="00787F5F">
            <w:pPr>
              <w:rPr>
                <w:rFonts w:cstheme="minorHAnsi"/>
                <w:bCs w:val="0"/>
                <w:color w:val="000000"/>
                <w:sz w:val="24"/>
              </w:rPr>
            </w:pPr>
            <w:r w:rsidRPr="00AD03E3">
              <w:rPr>
                <w:rFonts w:cstheme="minorHAnsi"/>
                <w:bCs w:val="0"/>
                <w:color w:val="000000"/>
                <w:sz w:val="24"/>
              </w:rPr>
              <w:t>Eğitim Yılı</w:t>
            </w:r>
          </w:p>
          <w:p w:rsidR="006D2CC2" w:rsidRPr="00AD03E3" w:rsidRDefault="006D2CC2" w:rsidP="00787F5F">
            <w:pPr>
              <w:rPr>
                <w:rFonts w:cstheme="minorHAnsi"/>
                <w:bCs w:val="0"/>
                <w:color w:val="000000"/>
                <w:sz w:val="16"/>
                <w:szCs w:val="16"/>
              </w:rPr>
            </w:pPr>
          </w:p>
        </w:tc>
        <w:tc>
          <w:tcPr>
            <w:tcW w:w="2677" w:type="dxa"/>
          </w:tcPr>
          <w:p w:rsidR="006D2CC2" w:rsidRPr="00AD03E3" w:rsidRDefault="006D2CC2" w:rsidP="00787F5F">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16"/>
                <w:szCs w:val="16"/>
              </w:rPr>
            </w:pPr>
          </w:p>
          <w:p w:rsidR="006D2CC2" w:rsidRPr="00AD03E3" w:rsidRDefault="006D2CC2" w:rsidP="00787F5F">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24"/>
              </w:rPr>
            </w:pPr>
            <w:r w:rsidRPr="00AD03E3">
              <w:rPr>
                <w:rFonts w:cstheme="minorHAnsi"/>
                <w:bCs w:val="0"/>
                <w:color w:val="000000"/>
                <w:sz w:val="24"/>
              </w:rPr>
              <w:t>Özel Ortaöğretim Sayısı</w:t>
            </w:r>
          </w:p>
        </w:tc>
        <w:tc>
          <w:tcPr>
            <w:tcW w:w="1686" w:type="dxa"/>
          </w:tcPr>
          <w:p w:rsidR="006D2CC2" w:rsidRPr="00AD03E3" w:rsidRDefault="006D2CC2" w:rsidP="00787F5F">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16"/>
                <w:szCs w:val="16"/>
              </w:rPr>
            </w:pPr>
          </w:p>
          <w:p w:rsidR="006D2CC2" w:rsidRPr="00AD03E3" w:rsidRDefault="006D2CC2" w:rsidP="00787F5F">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24"/>
              </w:rPr>
            </w:pPr>
            <w:r w:rsidRPr="00AD03E3">
              <w:rPr>
                <w:rFonts w:cstheme="minorHAnsi"/>
                <w:bCs w:val="0"/>
                <w:color w:val="000000"/>
                <w:sz w:val="24"/>
              </w:rPr>
              <w:t>Öğrenci Sayısı</w:t>
            </w:r>
          </w:p>
        </w:tc>
        <w:tc>
          <w:tcPr>
            <w:tcW w:w="1984" w:type="dxa"/>
          </w:tcPr>
          <w:p w:rsidR="006D2CC2" w:rsidRPr="00AD03E3" w:rsidRDefault="006D2CC2" w:rsidP="00787F5F">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16"/>
                <w:szCs w:val="16"/>
              </w:rPr>
            </w:pPr>
          </w:p>
          <w:p w:rsidR="006D2CC2" w:rsidRPr="00AD03E3" w:rsidRDefault="006D2CC2" w:rsidP="00787F5F">
            <w:pPr>
              <w:cnfStyle w:val="100000000000" w:firstRow="1" w:lastRow="0" w:firstColumn="0" w:lastColumn="0" w:oddVBand="0" w:evenVBand="0" w:oddHBand="0" w:evenHBand="0" w:firstRowFirstColumn="0" w:firstRowLastColumn="0" w:lastRowFirstColumn="0" w:lastRowLastColumn="0"/>
              <w:rPr>
                <w:rFonts w:cstheme="minorHAnsi"/>
                <w:bCs w:val="0"/>
                <w:color w:val="000000"/>
                <w:sz w:val="24"/>
              </w:rPr>
            </w:pPr>
            <w:r w:rsidRPr="00AD03E3">
              <w:rPr>
                <w:rFonts w:cstheme="minorHAnsi"/>
                <w:bCs w:val="0"/>
                <w:color w:val="000000"/>
                <w:sz w:val="24"/>
              </w:rPr>
              <w:t>Öğretmen Sayısı</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AD03E3" w:rsidRDefault="006D2CC2" w:rsidP="00787F5F">
            <w:pPr>
              <w:jc w:val="center"/>
              <w:rPr>
                <w:rFonts w:cstheme="minorHAnsi"/>
                <w:bCs w:val="0"/>
                <w:color w:val="000000"/>
                <w:sz w:val="24"/>
              </w:rPr>
            </w:pPr>
            <w:r w:rsidRPr="00AD03E3">
              <w:rPr>
                <w:rFonts w:cstheme="minorHAnsi"/>
                <w:bCs w:val="0"/>
                <w:color w:val="000000"/>
                <w:sz w:val="24"/>
              </w:rPr>
              <w:t>2011/’12</w:t>
            </w:r>
          </w:p>
        </w:tc>
        <w:tc>
          <w:tcPr>
            <w:tcW w:w="2677" w:type="dxa"/>
          </w:tcPr>
          <w:p w:rsidR="006D2CC2" w:rsidRPr="00AD03E3"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4"/>
              </w:rPr>
            </w:pPr>
            <w:r w:rsidRPr="00AD03E3">
              <w:rPr>
                <w:rFonts w:cstheme="minorHAnsi"/>
                <w:b/>
                <w:color w:val="000000"/>
                <w:sz w:val="24"/>
              </w:rPr>
              <w:t>45</w:t>
            </w:r>
          </w:p>
        </w:tc>
        <w:tc>
          <w:tcPr>
            <w:tcW w:w="1686" w:type="dxa"/>
          </w:tcPr>
          <w:p w:rsidR="006D2CC2" w:rsidRPr="00AD03E3"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4"/>
              </w:rPr>
            </w:pPr>
            <w:r w:rsidRPr="00AD03E3">
              <w:rPr>
                <w:rFonts w:cstheme="minorHAnsi"/>
                <w:b/>
                <w:color w:val="000000"/>
                <w:sz w:val="24"/>
              </w:rPr>
              <w:t>4.348</w:t>
            </w:r>
          </w:p>
        </w:tc>
        <w:tc>
          <w:tcPr>
            <w:tcW w:w="1984" w:type="dxa"/>
          </w:tcPr>
          <w:p w:rsidR="006D2CC2" w:rsidRPr="00AD03E3"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4"/>
              </w:rPr>
            </w:pPr>
            <w:r w:rsidRPr="00AD03E3">
              <w:rPr>
                <w:rFonts w:cstheme="minorHAnsi"/>
                <w:b/>
                <w:color w:val="000000"/>
                <w:sz w:val="24"/>
              </w:rPr>
              <w:t>689</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6D7756" w:rsidRDefault="006D2CC2" w:rsidP="00787F5F">
            <w:pPr>
              <w:jc w:val="center"/>
              <w:rPr>
                <w:rFonts w:cstheme="minorHAnsi"/>
                <w:b w:val="0"/>
                <w:bCs w:val="0"/>
                <w:color w:val="000000"/>
                <w:sz w:val="24"/>
              </w:rPr>
            </w:pPr>
            <w:r w:rsidRPr="006D7756">
              <w:rPr>
                <w:rFonts w:cstheme="minorHAnsi"/>
                <w:b w:val="0"/>
                <w:bCs w:val="0"/>
                <w:color w:val="000000"/>
                <w:sz w:val="24"/>
              </w:rPr>
              <w:t>2012/’13</w:t>
            </w:r>
          </w:p>
        </w:tc>
        <w:tc>
          <w:tcPr>
            <w:tcW w:w="2677"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126</w:t>
            </w:r>
          </w:p>
        </w:tc>
        <w:tc>
          <w:tcPr>
            <w:tcW w:w="168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17.854</w:t>
            </w:r>
          </w:p>
        </w:tc>
        <w:tc>
          <w:tcPr>
            <w:tcW w:w="1984"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2.181</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6D7756" w:rsidRDefault="006D2CC2" w:rsidP="00787F5F">
            <w:pPr>
              <w:jc w:val="center"/>
              <w:rPr>
                <w:rFonts w:cstheme="minorHAnsi"/>
                <w:b w:val="0"/>
                <w:bCs w:val="0"/>
                <w:color w:val="000000"/>
                <w:sz w:val="24"/>
              </w:rPr>
            </w:pPr>
            <w:r w:rsidRPr="006D7756">
              <w:rPr>
                <w:rFonts w:cstheme="minorHAnsi"/>
                <w:b w:val="0"/>
                <w:bCs w:val="0"/>
                <w:color w:val="000000"/>
                <w:sz w:val="24"/>
              </w:rPr>
              <w:t>2013/’14</w:t>
            </w:r>
          </w:p>
        </w:tc>
        <w:tc>
          <w:tcPr>
            <w:tcW w:w="2677"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rPr>
            </w:pPr>
            <w:r w:rsidRPr="006D7756">
              <w:rPr>
                <w:rFonts w:cstheme="minorHAnsi"/>
                <w:color w:val="000000"/>
                <w:sz w:val="24"/>
              </w:rPr>
              <w:t>426</w:t>
            </w:r>
          </w:p>
        </w:tc>
        <w:tc>
          <w:tcPr>
            <w:tcW w:w="168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rPr>
            </w:pPr>
            <w:r w:rsidRPr="006D7756">
              <w:rPr>
                <w:rFonts w:cstheme="minorHAnsi"/>
                <w:color w:val="000000"/>
                <w:sz w:val="24"/>
              </w:rPr>
              <w:t>54.153</w:t>
            </w:r>
          </w:p>
        </w:tc>
        <w:tc>
          <w:tcPr>
            <w:tcW w:w="1984"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rPr>
            </w:pPr>
            <w:r w:rsidRPr="006D7756">
              <w:rPr>
                <w:rFonts w:cstheme="minorHAnsi"/>
                <w:color w:val="000000"/>
                <w:sz w:val="24"/>
              </w:rPr>
              <w:t>7.472</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6D7756" w:rsidRDefault="006D2CC2" w:rsidP="00787F5F">
            <w:pPr>
              <w:jc w:val="center"/>
              <w:rPr>
                <w:rFonts w:cstheme="minorHAnsi"/>
                <w:b w:val="0"/>
                <w:bCs w:val="0"/>
                <w:color w:val="000000"/>
                <w:sz w:val="24"/>
              </w:rPr>
            </w:pPr>
            <w:r w:rsidRPr="006D7756">
              <w:rPr>
                <w:rFonts w:cstheme="minorHAnsi"/>
                <w:b w:val="0"/>
                <w:bCs w:val="0"/>
                <w:color w:val="000000"/>
                <w:sz w:val="24"/>
              </w:rPr>
              <w:t>2014/’15</w:t>
            </w:r>
          </w:p>
        </w:tc>
        <w:tc>
          <w:tcPr>
            <w:tcW w:w="2677"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429</w:t>
            </w:r>
          </w:p>
        </w:tc>
        <w:tc>
          <w:tcPr>
            <w:tcW w:w="168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75.890</w:t>
            </w:r>
          </w:p>
        </w:tc>
        <w:tc>
          <w:tcPr>
            <w:tcW w:w="1984"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7.660</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6D7756" w:rsidRDefault="006D2CC2" w:rsidP="00787F5F">
            <w:pPr>
              <w:jc w:val="center"/>
              <w:rPr>
                <w:rFonts w:cstheme="minorHAnsi"/>
                <w:b w:val="0"/>
                <w:bCs w:val="0"/>
                <w:color w:val="000000"/>
                <w:sz w:val="24"/>
              </w:rPr>
            </w:pPr>
            <w:r w:rsidRPr="006D7756">
              <w:rPr>
                <w:rFonts w:cstheme="minorHAnsi"/>
                <w:b w:val="0"/>
                <w:bCs w:val="0"/>
                <w:color w:val="000000"/>
                <w:sz w:val="24"/>
              </w:rPr>
              <w:t>2015/’16</w:t>
            </w:r>
          </w:p>
        </w:tc>
        <w:tc>
          <w:tcPr>
            <w:tcW w:w="2677"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rPr>
            </w:pPr>
            <w:r w:rsidRPr="006D7756">
              <w:rPr>
                <w:rFonts w:cstheme="minorHAnsi"/>
                <w:color w:val="000000"/>
                <w:sz w:val="24"/>
              </w:rPr>
              <w:t>419</w:t>
            </w:r>
          </w:p>
        </w:tc>
        <w:tc>
          <w:tcPr>
            <w:tcW w:w="168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rPr>
            </w:pPr>
            <w:r w:rsidRPr="006D7756">
              <w:rPr>
                <w:rFonts w:cstheme="minorHAnsi"/>
                <w:color w:val="000000"/>
                <w:sz w:val="24"/>
              </w:rPr>
              <w:t>99.217</w:t>
            </w:r>
          </w:p>
        </w:tc>
        <w:tc>
          <w:tcPr>
            <w:tcW w:w="1984"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rPr>
            </w:pPr>
            <w:r w:rsidRPr="006D7756">
              <w:rPr>
                <w:rFonts w:cstheme="minorHAnsi"/>
                <w:color w:val="000000"/>
                <w:sz w:val="24"/>
              </w:rPr>
              <w:t>8.604</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6D7756" w:rsidRDefault="006D2CC2" w:rsidP="00787F5F">
            <w:pPr>
              <w:jc w:val="center"/>
              <w:rPr>
                <w:rFonts w:cstheme="minorHAnsi"/>
                <w:b w:val="0"/>
                <w:bCs w:val="0"/>
                <w:color w:val="000000"/>
                <w:sz w:val="24"/>
              </w:rPr>
            </w:pPr>
            <w:r w:rsidRPr="006D7756">
              <w:rPr>
                <w:rFonts w:cstheme="minorHAnsi"/>
                <w:b w:val="0"/>
                <w:bCs w:val="0"/>
                <w:color w:val="000000"/>
                <w:sz w:val="24"/>
              </w:rPr>
              <w:t>2016/’17</w:t>
            </w:r>
          </w:p>
        </w:tc>
        <w:tc>
          <w:tcPr>
            <w:tcW w:w="2677"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372</w:t>
            </w:r>
          </w:p>
        </w:tc>
        <w:tc>
          <w:tcPr>
            <w:tcW w:w="168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111.720</w:t>
            </w:r>
          </w:p>
        </w:tc>
        <w:tc>
          <w:tcPr>
            <w:tcW w:w="1984"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7.771</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6D7756" w:rsidRDefault="006D2CC2" w:rsidP="00787F5F">
            <w:pPr>
              <w:jc w:val="center"/>
              <w:rPr>
                <w:rFonts w:cstheme="minorHAnsi"/>
                <w:b w:val="0"/>
                <w:bCs w:val="0"/>
                <w:color w:val="000000"/>
                <w:sz w:val="24"/>
              </w:rPr>
            </w:pPr>
            <w:r w:rsidRPr="006D7756">
              <w:rPr>
                <w:rFonts w:cstheme="minorHAnsi"/>
                <w:b w:val="0"/>
                <w:bCs w:val="0"/>
                <w:sz w:val="24"/>
              </w:rPr>
              <w:t>2017/’18</w:t>
            </w:r>
          </w:p>
        </w:tc>
        <w:tc>
          <w:tcPr>
            <w:tcW w:w="2677"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rPr>
            </w:pPr>
            <w:r w:rsidRPr="006D7756">
              <w:rPr>
                <w:rFonts w:cstheme="minorHAnsi"/>
                <w:color w:val="000000"/>
                <w:sz w:val="24"/>
              </w:rPr>
              <w:t>383</w:t>
            </w:r>
          </w:p>
        </w:tc>
        <w:tc>
          <w:tcPr>
            <w:tcW w:w="168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rPr>
            </w:pPr>
            <w:r w:rsidRPr="006D7756">
              <w:rPr>
                <w:rFonts w:cstheme="minorHAnsi"/>
                <w:color w:val="000000"/>
                <w:sz w:val="24"/>
              </w:rPr>
              <w:t>109.113</w:t>
            </w:r>
          </w:p>
        </w:tc>
        <w:tc>
          <w:tcPr>
            <w:tcW w:w="1984"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rPr>
            </w:pPr>
            <w:r w:rsidRPr="006D7756">
              <w:rPr>
                <w:rFonts w:cstheme="minorHAnsi"/>
                <w:color w:val="000000"/>
                <w:sz w:val="24"/>
              </w:rPr>
              <w:t>8.873</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6D7756" w:rsidRDefault="006D2CC2" w:rsidP="00787F5F">
            <w:pPr>
              <w:jc w:val="center"/>
              <w:rPr>
                <w:rFonts w:cstheme="minorHAnsi"/>
                <w:b w:val="0"/>
                <w:bCs w:val="0"/>
                <w:color w:val="000000"/>
                <w:sz w:val="24"/>
              </w:rPr>
            </w:pPr>
            <w:r w:rsidRPr="006D7756">
              <w:rPr>
                <w:rFonts w:cstheme="minorHAnsi"/>
                <w:b w:val="0"/>
                <w:bCs w:val="0"/>
                <w:sz w:val="24"/>
              </w:rPr>
              <w:t>2018/’19</w:t>
            </w:r>
          </w:p>
        </w:tc>
        <w:tc>
          <w:tcPr>
            <w:tcW w:w="2677"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413</w:t>
            </w:r>
          </w:p>
        </w:tc>
        <w:tc>
          <w:tcPr>
            <w:tcW w:w="168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107.228</w:t>
            </w:r>
          </w:p>
        </w:tc>
        <w:tc>
          <w:tcPr>
            <w:tcW w:w="1984"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rPr>
            </w:pPr>
            <w:r w:rsidRPr="006D7756">
              <w:rPr>
                <w:rFonts w:cstheme="minorHAnsi"/>
                <w:color w:val="000000"/>
                <w:sz w:val="24"/>
              </w:rPr>
              <w:t>9.278</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19" w:type="dxa"/>
          </w:tcPr>
          <w:p w:rsidR="006D2CC2" w:rsidRPr="00AD03E3" w:rsidRDefault="006D2CC2" w:rsidP="00787F5F">
            <w:pPr>
              <w:jc w:val="center"/>
              <w:rPr>
                <w:rFonts w:ascii="Calibri" w:hAnsi="Calibri"/>
                <w:sz w:val="24"/>
              </w:rPr>
            </w:pPr>
            <w:r w:rsidRPr="00AD03E3">
              <w:rPr>
                <w:rFonts w:ascii="Calibri" w:hAnsi="Calibri"/>
                <w:sz w:val="24"/>
              </w:rPr>
              <w:t>2019/’20</w:t>
            </w:r>
          </w:p>
        </w:tc>
        <w:tc>
          <w:tcPr>
            <w:tcW w:w="2677" w:type="dxa"/>
          </w:tcPr>
          <w:p w:rsidR="006D2CC2" w:rsidRPr="00AD03E3"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4"/>
              </w:rPr>
            </w:pPr>
            <w:r w:rsidRPr="00AD03E3">
              <w:rPr>
                <w:rFonts w:cstheme="minorHAnsi"/>
                <w:b/>
                <w:color w:val="000000"/>
                <w:sz w:val="24"/>
              </w:rPr>
              <w:t>401</w:t>
            </w:r>
          </w:p>
        </w:tc>
        <w:tc>
          <w:tcPr>
            <w:tcW w:w="1686" w:type="dxa"/>
          </w:tcPr>
          <w:p w:rsidR="006D2CC2" w:rsidRPr="00AD03E3"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4"/>
              </w:rPr>
            </w:pPr>
            <w:r w:rsidRPr="00AD03E3">
              <w:rPr>
                <w:rFonts w:cstheme="minorHAnsi"/>
                <w:b/>
                <w:color w:val="000000"/>
                <w:sz w:val="24"/>
              </w:rPr>
              <w:t>108.918</w:t>
            </w:r>
          </w:p>
        </w:tc>
        <w:tc>
          <w:tcPr>
            <w:tcW w:w="1984" w:type="dxa"/>
          </w:tcPr>
          <w:p w:rsidR="006D2CC2" w:rsidRPr="00AD03E3" w:rsidRDefault="006D2CC2" w:rsidP="00787F5F">
            <w:pPr>
              <w:jc w:val="center"/>
              <w:cnfStyle w:val="000000100000" w:firstRow="0" w:lastRow="0" w:firstColumn="0" w:lastColumn="0" w:oddVBand="0" w:evenVBand="0" w:oddHBand="1" w:evenHBand="0" w:firstRowFirstColumn="0" w:firstRowLastColumn="0" w:lastRowFirstColumn="0" w:lastRowLastColumn="0"/>
              <w:rPr>
                <w:rFonts w:cstheme="minorHAnsi"/>
                <w:b/>
                <w:color w:val="000000"/>
                <w:sz w:val="24"/>
              </w:rPr>
            </w:pPr>
            <w:r w:rsidRPr="00AD03E3">
              <w:rPr>
                <w:rFonts w:cstheme="minorHAnsi"/>
                <w:b/>
                <w:color w:val="000000"/>
                <w:sz w:val="24"/>
              </w:rPr>
              <w:t>8.881</w:t>
            </w:r>
          </w:p>
        </w:tc>
      </w:tr>
    </w:tbl>
    <w:p w:rsidR="006D2CC2" w:rsidRPr="00D20E0E" w:rsidRDefault="006D2CC2" w:rsidP="006D2CC2">
      <w:pPr>
        <w:pStyle w:val="NormalWeb"/>
        <w:shd w:val="clear" w:color="auto" w:fill="FFFFFF"/>
        <w:spacing w:before="0" w:beforeAutospacing="0" w:after="0" w:afterAutospacing="0"/>
        <w:ind w:firstLine="360"/>
        <w:jc w:val="both"/>
        <w:rPr>
          <w:rFonts w:ascii="Calibri" w:hAnsi="Calibri"/>
          <w:color w:val="000000"/>
          <w:sz w:val="16"/>
        </w:rPr>
      </w:pPr>
    </w:p>
    <w:p w:rsidR="006D2CC2" w:rsidRPr="006D7756" w:rsidRDefault="006D2CC2" w:rsidP="006D2CC2">
      <w:pPr>
        <w:pStyle w:val="NormalWeb"/>
        <w:shd w:val="clear" w:color="auto" w:fill="FFFFFF"/>
        <w:spacing w:before="0" w:beforeAutospacing="0" w:after="0" w:afterAutospacing="0"/>
        <w:ind w:firstLine="360"/>
        <w:jc w:val="both"/>
        <w:rPr>
          <w:rFonts w:ascii="Calibri" w:hAnsi="Calibri"/>
          <w:color w:val="000000"/>
        </w:rPr>
      </w:pPr>
      <w:r w:rsidRPr="006D7756">
        <w:rPr>
          <w:rFonts w:ascii="Calibri" w:hAnsi="Calibri"/>
          <w:color w:val="000000"/>
        </w:rPr>
        <w:lastRenderedPageBreak/>
        <w:t>Eğitimde 4+4+4 öncesinde, 2011-2012 eğitim öğretim yılında Türkiye’de sadece 45 özel meslek lisesi varken, kamu kaynaklarıyla yapılan doğrudan destek ve teşvikler sonucunda okul sayısı 9 kat artmış ve 2019/’20 eğitim öğretim yılı sonu itibariyle bu sayı 401 olmuştur. Aynı dönemde özel meslek liselerine giden öğrenci sayısı ise yaklaşık 25 kat artış göstererek</w:t>
      </w:r>
      <w:r w:rsidR="004B3099">
        <w:rPr>
          <w:rFonts w:ascii="Calibri" w:hAnsi="Calibri"/>
          <w:color w:val="000000"/>
        </w:rPr>
        <w:t>,</w:t>
      </w:r>
      <w:r w:rsidRPr="006D7756">
        <w:rPr>
          <w:rFonts w:ascii="Calibri" w:hAnsi="Calibri"/>
          <w:color w:val="000000"/>
        </w:rPr>
        <w:t xml:space="preserve"> 4 bin 348’den 108 bin 918’e yükselmiştir. Özel meslek liselerinde ve teknik liselerde okul sayısı 9 kat artarken öğrenci sayısının 25 kat artmış olmasının en temel nedeni, MEB’in özel mesleki eğitime yönelik okullaşma politikasının yanı sıra, özel mesleki ve teknik liselere giden öğrenci başına değişen miktarlarda doğrudan parasal destek sunulmasıdır. </w:t>
      </w:r>
    </w:p>
    <w:p w:rsidR="006D2CC2" w:rsidRDefault="006D2CC2" w:rsidP="006D2CC2">
      <w:pPr>
        <w:ind w:firstLine="426"/>
        <w:rPr>
          <w:rFonts w:ascii="Calibri" w:hAnsi="Calibri" w:cs="Calibri"/>
          <w:sz w:val="24"/>
          <w:szCs w:val="24"/>
        </w:rPr>
      </w:pPr>
      <w:r w:rsidRPr="006D7756">
        <w:rPr>
          <w:rFonts w:ascii="Calibri" w:hAnsi="Calibri" w:cs="Calibri"/>
          <w:sz w:val="24"/>
          <w:szCs w:val="24"/>
        </w:rPr>
        <w:t xml:space="preserve">MEB, eğitimin gittikçe daralan kamusal niteliğini tamamen ortadan kaldırmaya çalışırken, öğrenci ve velileri açıkça özel okullara yönlendirme politikasını sürdürmektedir. Özellikle 4+4+4 düzenlemesi sonrasında, velilerin ekonomik koşullarını zorlayarak çocuklarını özel okullara göndermesi, teşvik politikaları ile özel okul sayılarının ve bu okullara giden öğrenci sayısının ciddi anlamda artmasını beraberinde getirmiştir. </w:t>
      </w:r>
    </w:p>
    <w:p w:rsidR="006D2CC2" w:rsidRPr="00C87B90" w:rsidRDefault="006D2CC2" w:rsidP="006D2CC2">
      <w:pPr>
        <w:ind w:firstLine="426"/>
        <w:rPr>
          <w:sz w:val="24"/>
        </w:rPr>
      </w:pPr>
      <w:r>
        <w:rPr>
          <w:rFonts w:ascii="Calibri" w:hAnsi="Calibri"/>
          <w:color w:val="000000"/>
          <w:sz w:val="24"/>
        </w:rPr>
        <w:t>MEB’in özel okulların sorunları</w:t>
      </w:r>
      <w:r w:rsidR="005B6399">
        <w:rPr>
          <w:rFonts w:ascii="Calibri" w:hAnsi="Calibri"/>
          <w:color w:val="000000"/>
          <w:sz w:val="24"/>
        </w:rPr>
        <w:t>nı</w:t>
      </w:r>
      <w:r>
        <w:rPr>
          <w:rFonts w:ascii="Calibri" w:hAnsi="Calibri"/>
          <w:color w:val="000000"/>
          <w:sz w:val="24"/>
        </w:rPr>
        <w:t xml:space="preserve"> devlet okullarından daha</w:t>
      </w:r>
      <w:r w:rsidR="005B6399">
        <w:rPr>
          <w:rFonts w:ascii="Calibri" w:hAnsi="Calibri"/>
          <w:color w:val="000000"/>
          <w:sz w:val="24"/>
        </w:rPr>
        <w:t xml:space="preserve"> fazla önemsediği bir dönemde, </w:t>
      </w:r>
      <w:r w:rsidRPr="00C87B90">
        <w:rPr>
          <w:sz w:val="24"/>
        </w:rPr>
        <w:t xml:space="preserve">Türkiye Özel Okullar Derneği </w:t>
      </w:r>
      <w:r>
        <w:rPr>
          <w:sz w:val="24"/>
        </w:rPr>
        <w:t xml:space="preserve">(TÖZOK) </w:t>
      </w:r>
      <w:r w:rsidRPr="00C87B90">
        <w:rPr>
          <w:sz w:val="24"/>
        </w:rPr>
        <w:t>verilerine göre, salgınla birlikte yaklaşık 300 bin öğrenci özel okullardan kaydını sildir</w:t>
      </w:r>
      <w:r>
        <w:rPr>
          <w:sz w:val="24"/>
        </w:rPr>
        <w:t xml:space="preserve">miştir. </w:t>
      </w:r>
      <w:proofErr w:type="spellStart"/>
      <w:r>
        <w:rPr>
          <w:sz w:val="24"/>
        </w:rPr>
        <w:t>Pandemi</w:t>
      </w:r>
      <w:proofErr w:type="spellEnd"/>
      <w:r>
        <w:rPr>
          <w:sz w:val="24"/>
        </w:rPr>
        <w:t xml:space="preserve"> sürecinde r</w:t>
      </w:r>
      <w:r w:rsidRPr="00C87B90">
        <w:rPr>
          <w:sz w:val="24"/>
        </w:rPr>
        <w:t xml:space="preserve">esmi </w:t>
      </w:r>
      <w:r>
        <w:rPr>
          <w:sz w:val="24"/>
        </w:rPr>
        <w:t xml:space="preserve">verilere göre </w:t>
      </w:r>
      <w:r w:rsidRPr="00C87B90">
        <w:rPr>
          <w:sz w:val="24"/>
        </w:rPr>
        <w:t xml:space="preserve">636, </w:t>
      </w:r>
      <w:proofErr w:type="spellStart"/>
      <w:r w:rsidRPr="00C87B90">
        <w:rPr>
          <w:sz w:val="24"/>
        </w:rPr>
        <w:t>TÖZOK’a</w:t>
      </w:r>
      <w:proofErr w:type="spellEnd"/>
      <w:r w:rsidRPr="00C87B90">
        <w:rPr>
          <w:sz w:val="24"/>
        </w:rPr>
        <w:t xml:space="preserve"> göre yaklaşık bin özel okul kapan</w:t>
      </w:r>
      <w:r>
        <w:rPr>
          <w:sz w:val="24"/>
        </w:rPr>
        <w:t xml:space="preserve">mış, </w:t>
      </w:r>
      <w:r w:rsidRPr="007519FB">
        <w:rPr>
          <w:b/>
          <w:sz w:val="24"/>
        </w:rPr>
        <w:t>5 bin</w:t>
      </w:r>
      <w:r w:rsidRPr="00C87B90">
        <w:rPr>
          <w:sz w:val="24"/>
        </w:rPr>
        <w:t xml:space="preserve">e yakın </w:t>
      </w:r>
      <w:r>
        <w:rPr>
          <w:sz w:val="24"/>
        </w:rPr>
        <w:t xml:space="preserve">eğitim emekçisi </w:t>
      </w:r>
      <w:r w:rsidRPr="00C87B90">
        <w:rPr>
          <w:sz w:val="24"/>
        </w:rPr>
        <w:t>işsiz kal</w:t>
      </w:r>
      <w:r>
        <w:rPr>
          <w:sz w:val="24"/>
        </w:rPr>
        <w:t xml:space="preserve">mıştır. </w:t>
      </w:r>
      <w:r w:rsidRPr="00C87B90">
        <w:rPr>
          <w:sz w:val="24"/>
        </w:rPr>
        <w:t>Henüz işini kaybetmeyen özel okul öğretmenleri</w:t>
      </w:r>
      <w:r>
        <w:rPr>
          <w:sz w:val="24"/>
        </w:rPr>
        <w:t xml:space="preserve">nin önemli bir bölümü </w:t>
      </w:r>
      <w:r w:rsidRPr="00C87B90">
        <w:rPr>
          <w:sz w:val="24"/>
        </w:rPr>
        <w:t>kısa çalışma ödeneğiyle birlikte salgın</w:t>
      </w:r>
      <w:r>
        <w:rPr>
          <w:sz w:val="24"/>
        </w:rPr>
        <w:t xml:space="preserve">ın ağır </w:t>
      </w:r>
      <w:r w:rsidRPr="00C87B90">
        <w:rPr>
          <w:sz w:val="24"/>
        </w:rPr>
        <w:t xml:space="preserve">faturasını </w:t>
      </w:r>
      <w:r>
        <w:rPr>
          <w:sz w:val="24"/>
        </w:rPr>
        <w:t xml:space="preserve">ödemeye zorlanmıştır. </w:t>
      </w:r>
    </w:p>
    <w:p w:rsidR="006D2CC2" w:rsidRDefault="006D2CC2" w:rsidP="006D2CC2">
      <w:pPr>
        <w:ind w:firstLine="426"/>
        <w:rPr>
          <w:sz w:val="24"/>
          <w:szCs w:val="24"/>
        </w:rPr>
      </w:pPr>
      <w:r w:rsidRPr="00020E94">
        <w:rPr>
          <w:sz w:val="24"/>
          <w:szCs w:val="24"/>
        </w:rPr>
        <w:t xml:space="preserve">MEB, devlet okullarının </w:t>
      </w:r>
      <w:r>
        <w:rPr>
          <w:sz w:val="24"/>
          <w:szCs w:val="24"/>
        </w:rPr>
        <w:t xml:space="preserve">yıllardır çözüm bekleyen yapısal </w:t>
      </w:r>
      <w:r w:rsidRPr="00020E94">
        <w:rPr>
          <w:sz w:val="24"/>
          <w:szCs w:val="24"/>
        </w:rPr>
        <w:t>sorunlarını çözmek, okulların ödenek ihtiyaçlarını karşılamak yerine, kamu kaynaklarını özel okullara aktarma</w:t>
      </w:r>
      <w:r>
        <w:rPr>
          <w:sz w:val="24"/>
          <w:szCs w:val="24"/>
        </w:rPr>
        <w:t xml:space="preserve"> politikasını </w:t>
      </w:r>
      <w:r w:rsidRPr="00020E94">
        <w:rPr>
          <w:sz w:val="24"/>
          <w:szCs w:val="24"/>
        </w:rPr>
        <w:t>sürdür</w:t>
      </w:r>
      <w:r>
        <w:rPr>
          <w:sz w:val="24"/>
          <w:szCs w:val="24"/>
        </w:rPr>
        <w:t xml:space="preserve">meye devam etmiştir. </w:t>
      </w:r>
      <w:r w:rsidRPr="00020E94">
        <w:rPr>
          <w:sz w:val="24"/>
          <w:szCs w:val="24"/>
        </w:rPr>
        <w:t>Özellikle 4+4+4 dayatması sonrasında, velilerin ekonomik koşullarını zorlayarak çocuklarını özel okullara gönderme oranı</w:t>
      </w:r>
      <w:r>
        <w:rPr>
          <w:sz w:val="24"/>
          <w:szCs w:val="24"/>
        </w:rPr>
        <w:t xml:space="preserve"> </w:t>
      </w:r>
      <w:r w:rsidRPr="00020E94">
        <w:rPr>
          <w:sz w:val="24"/>
          <w:szCs w:val="24"/>
        </w:rPr>
        <w:t>belirgin şekilde art</w:t>
      </w:r>
      <w:r>
        <w:rPr>
          <w:sz w:val="24"/>
          <w:szCs w:val="24"/>
        </w:rPr>
        <w:t xml:space="preserve">mıştır. </w:t>
      </w:r>
    </w:p>
    <w:p w:rsidR="006D2CC2" w:rsidRDefault="006D2CC2" w:rsidP="006D2CC2">
      <w:pPr>
        <w:ind w:firstLine="360"/>
        <w:rPr>
          <w:rFonts w:ascii="Calibri" w:hAnsi="Calibri"/>
          <w:bCs/>
          <w:sz w:val="24"/>
          <w:szCs w:val="24"/>
        </w:rPr>
      </w:pPr>
      <w:r w:rsidRPr="00C16F24">
        <w:rPr>
          <w:rFonts w:ascii="Calibri" w:hAnsi="Calibri"/>
          <w:bCs/>
          <w:sz w:val="24"/>
          <w:szCs w:val="24"/>
        </w:rPr>
        <w:t xml:space="preserve">MEB, devlet okullarına ihtiyacı kadar ödenek ayırmayıp, eğitimin finansmanı için elini velilerin cebinden çıkarmazken, imam hatip okulları söz konusu olunca bütün </w:t>
      </w:r>
      <w:r>
        <w:rPr>
          <w:rFonts w:ascii="Calibri" w:hAnsi="Calibri"/>
          <w:bCs/>
          <w:sz w:val="24"/>
          <w:szCs w:val="24"/>
        </w:rPr>
        <w:t>bütçe</w:t>
      </w:r>
      <w:r w:rsidRPr="00C16F24">
        <w:rPr>
          <w:rFonts w:ascii="Calibri" w:hAnsi="Calibri"/>
          <w:bCs/>
          <w:sz w:val="24"/>
          <w:szCs w:val="24"/>
        </w:rPr>
        <w:t xml:space="preserve"> kaynaklar</w:t>
      </w:r>
      <w:r>
        <w:rPr>
          <w:rFonts w:ascii="Calibri" w:hAnsi="Calibri"/>
          <w:bCs/>
          <w:sz w:val="24"/>
          <w:szCs w:val="24"/>
        </w:rPr>
        <w:t xml:space="preserve">ının adeta </w:t>
      </w:r>
      <w:r w:rsidRPr="00C16F24">
        <w:rPr>
          <w:rFonts w:ascii="Calibri" w:hAnsi="Calibri"/>
          <w:bCs/>
          <w:sz w:val="24"/>
          <w:szCs w:val="24"/>
        </w:rPr>
        <w:t>seferber e</w:t>
      </w:r>
      <w:r>
        <w:rPr>
          <w:rFonts w:ascii="Calibri" w:hAnsi="Calibri"/>
          <w:bCs/>
          <w:sz w:val="24"/>
          <w:szCs w:val="24"/>
        </w:rPr>
        <w:t>dilm</w:t>
      </w:r>
      <w:r w:rsidRPr="00C16F24">
        <w:rPr>
          <w:rFonts w:ascii="Calibri" w:hAnsi="Calibri"/>
          <w:bCs/>
          <w:sz w:val="24"/>
          <w:szCs w:val="24"/>
        </w:rPr>
        <w:t>e</w:t>
      </w:r>
      <w:r>
        <w:rPr>
          <w:rFonts w:ascii="Calibri" w:hAnsi="Calibri"/>
          <w:bCs/>
          <w:sz w:val="24"/>
          <w:szCs w:val="24"/>
        </w:rPr>
        <w:t xml:space="preserve">si dikkat çekicidir. </w:t>
      </w:r>
      <w:r w:rsidRPr="00C16F24">
        <w:rPr>
          <w:rFonts w:ascii="Calibri" w:hAnsi="Calibri"/>
          <w:bCs/>
          <w:sz w:val="24"/>
          <w:szCs w:val="24"/>
        </w:rPr>
        <w:t xml:space="preserve">Yıllardır siyasal istismar konusu olan imam hatip okulları her açıdan desteklenerek, tüm masrafları devlet tarafından karşılanarak, özellikle yoksul ailelerin çocuklarını bu okullara göndermeleri yönünde çalışmalar yapılmaktadır. </w:t>
      </w:r>
      <w:r>
        <w:rPr>
          <w:rFonts w:ascii="Calibri" w:hAnsi="Calibri"/>
          <w:bCs/>
          <w:sz w:val="24"/>
          <w:szCs w:val="24"/>
        </w:rPr>
        <w:t>Türkiye’de kamusal eğitim sadece imam hatip okulları için geçerliyken, devlet okullarında yaşanan ticarileştirme uygulamaları velilerin cebinden yap</w:t>
      </w:r>
      <w:r w:rsidR="005B6399">
        <w:rPr>
          <w:rFonts w:ascii="Calibri" w:hAnsi="Calibri"/>
          <w:bCs/>
          <w:sz w:val="24"/>
          <w:szCs w:val="24"/>
        </w:rPr>
        <w:t>tığı</w:t>
      </w:r>
      <w:r>
        <w:rPr>
          <w:rFonts w:ascii="Calibri" w:hAnsi="Calibri"/>
          <w:bCs/>
          <w:sz w:val="24"/>
          <w:szCs w:val="24"/>
        </w:rPr>
        <w:t xml:space="preserve"> eğitim harcamalarının her yıl artmasına neden olmayı sürdürmektedir. </w:t>
      </w:r>
    </w:p>
    <w:p w:rsidR="006D2CC2" w:rsidRDefault="006D2CC2" w:rsidP="006D2CC2">
      <w:pPr>
        <w:ind w:firstLine="426"/>
        <w:rPr>
          <w:sz w:val="24"/>
          <w:szCs w:val="24"/>
        </w:rPr>
      </w:pPr>
    </w:p>
    <w:p w:rsidR="006D2CC2" w:rsidRPr="00FD7DAA" w:rsidRDefault="006D2CC2" w:rsidP="006D2CC2">
      <w:pPr>
        <w:pStyle w:val="NormalWeb"/>
        <w:spacing w:before="0" w:beforeAutospacing="0" w:after="0" w:afterAutospacing="0"/>
        <w:rPr>
          <w:rFonts w:ascii="Calibri" w:hAnsi="Calibri"/>
          <w:b/>
          <w:color w:val="000000" w:themeColor="text1"/>
        </w:rPr>
      </w:pPr>
      <w:r w:rsidRPr="00FD7DAA">
        <w:rPr>
          <w:rFonts w:ascii="Calibri" w:hAnsi="Calibri"/>
          <w:b/>
          <w:color w:val="000000" w:themeColor="text1"/>
        </w:rPr>
        <w:t>İMAM HATİP OKULLARINA İKTİDAR DESTE</w:t>
      </w:r>
      <w:r>
        <w:rPr>
          <w:rFonts w:ascii="Calibri" w:hAnsi="Calibri"/>
          <w:b/>
          <w:color w:val="000000" w:themeColor="text1"/>
        </w:rPr>
        <w:t xml:space="preserve">Ğİ </w:t>
      </w:r>
      <w:r w:rsidR="00D95744">
        <w:rPr>
          <w:rFonts w:ascii="Calibri" w:hAnsi="Calibri"/>
          <w:b/>
          <w:color w:val="000000" w:themeColor="text1"/>
        </w:rPr>
        <w:t>DEVAM EDİYOR</w:t>
      </w:r>
    </w:p>
    <w:p w:rsidR="006D2CC2" w:rsidRPr="00C16F24" w:rsidRDefault="006D2CC2" w:rsidP="006D2CC2">
      <w:pPr>
        <w:pStyle w:val="NormalWeb"/>
        <w:spacing w:before="0" w:beforeAutospacing="0" w:after="0" w:afterAutospacing="0"/>
        <w:ind w:firstLine="357"/>
        <w:jc w:val="both"/>
        <w:rPr>
          <w:rFonts w:ascii="Calibri" w:hAnsi="Calibri"/>
          <w:color w:val="FF0000"/>
          <w:sz w:val="16"/>
          <w:szCs w:val="16"/>
        </w:rPr>
      </w:pPr>
    </w:p>
    <w:p w:rsidR="006D2CC2" w:rsidRPr="00C16F24" w:rsidRDefault="006D2CC2" w:rsidP="006D2CC2">
      <w:pPr>
        <w:ind w:firstLine="357"/>
        <w:rPr>
          <w:rFonts w:ascii="Calibri" w:hAnsi="Calibri"/>
          <w:sz w:val="24"/>
          <w:szCs w:val="24"/>
        </w:rPr>
      </w:pPr>
      <w:r w:rsidRPr="00C16F24">
        <w:rPr>
          <w:rFonts w:ascii="Calibri" w:hAnsi="Calibri"/>
          <w:sz w:val="24"/>
          <w:szCs w:val="24"/>
        </w:rPr>
        <w:t xml:space="preserve">AKP iktidarının eğitimin en temel sorunlarına çözüm üretmek yerine, yıllardır siyasal olarak istismar ettiği imam hatiplerin sayısını arttırma derdine düşmesi, bazı il ve ilçe milli eğitim müdürlüklerinin yazılı ve sözlü talimatları ile öğrencilerin imam hatiplere yönlendirilmesiyle imam hatip sayısı </w:t>
      </w:r>
      <w:r>
        <w:rPr>
          <w:rFonts w:ascii="Calibri" w:hAnsi="Calibri"/>
          <w:sz w:val="24"/>
          <w:szCs w:val="24"/>
        </w:rPr>
        <w:t xml:space="preserve">yıllar içinde hızla </w:t>
      </w:r>
      <w:r w:rsidRPr="00C16F24">
        <w:rPr>
          <w:rFonts w:ascii="Calibri" w:hAnsi="Calibri"/>
          <w:sz w:val="24"/>
          <w:szCs w:val="24"/>
        </w:rPr>
        <w:t xml:space="preserve">yükselmeye başlamıştır. </w:t>
      </w:r>
    </w:p>
    <w:p w:rsidR="006D2CC2" w:rsidRPr="00376160" w:rsidRDefault="006D2CC2" w:rsidP="006D2CC2">
      <w:pPr>
        <w:ind w:firstLine="357"/>
        <w:rPr>
          <w:rFonts w:ascii="Calibri" w:hAnsi="Calibri"/>
          <w:sz w:val="12"/>
          <w:szCs w:val="16"/>
        </w:rPr>
      </w:pPr>
    </w:p>
    <w:p w:rsidR="006D2CC2" w:rsidRDefault="006D2CC2" w:rsidP="006D2CC2">
      <w:pPr>
        <w:pStyle w:val="Balk2"/>
        <w:spacing w:before="0" w:after="0"/>
        <w:jc w:val="center"/>
        <w:rPr>
          <w:rFonts w:ascii="Calibri" w:hAnsi="Calibri" w:cs="Times New Roman"/>
          <w:i w:val="0"/>
          <w:color w:val="000000" w:themeColor="text1"/>
          <w:sz w:val="24"/>
          <w:szCs w:val="24"/>
        </w:rPr>
      </w:pPr>
      <w:r w:rsidRPr="00FD7DAA">
        <w:rPr>
          <w:rFonts w:ascii="Calibri" w:hAnsi="Calibri" w:cs="Times New Roman"/>
          <w:i w:val="0"/>
          <w:color w:val="000000" w:themeColor="text1"/>
          <w:sz w:val="24"/>
          <w:szCs w:val="24"/>
        </w:rPr>
        <w:t xml:space="preserve">İmam Hatip Ortaokulu Sayıları (İHO) </w:t>
      </w:r>
    </w:p>
    <w:p w:rsidR="006D2CC2" w:rsidRPr="0080153D" w:rsidRDefault="006D2CC2" w:rsidP="006D2CC2">
      <w:pPr>
        <w:rPr>
          <w:sz w:val="18"/>
          <w:lang w:eastAsia="tr-TR"/>
        </w:rPr>
      </w:pPr>
    </w:p>
    <w:tbl>
      <w:tblPr>
        <w:tblStyle w:val="KlavuzuTablo4-Vurgu2"/>
        <w:tblW w:w="0" w:type="auto"/>
        <w:jc w:val="center"/>
        <w:tblLook w:val="04A0" w:firstRow="1" w:lastRow="0" w:firstColumn="1" w:lastColumn="0" w:noHBand="0" w:noVBand="1"/>
      </w:tblPr>
      <w:tblGrid>
        <w:gridCol w:w="1280"/>
        <w:gridCol w:w="1520"/>
        <w:gridCol w:w="1736"/>
        <w:gridCol w:w="1570"/>
        <w:gridCol w:w="1720"/>
      </w:tblGrid>
      <w:tr w:rsidR="006D2CC2" w:rsidRPr="006D7756" w:rsidTr="00787F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0" w:type="dxa"/>
          </w:tcPr>
          <w:p w:rsidR="006D2CC2" w:rsidRPr="00AD03E3" w:rsidRDefault="006D2CC2" w:rsidP="00787F5F">
            <w:pPr>
              <w:rPr>
                <w:rFonts w:ascii="Calibri" w:hAnsi="Calibri"/>
                <w:bCs w:val="0"/>
                <w:color w:val="FFFFFF"/>
                <w:sz w:val="24"/>
              </w:rPr>
            </w:pPr>
          </w:p>
        </w:tc>
        <w:tc>
          <w:tcPr>
            <w:tcW w:w="1520" w:type="dxa"/>
          </w:tcPr>
          <w:p w:rsidR="006D2CC2" w:rsidRPr="00AD03E3" w:rsidRDefault="006D2CC2" w:rsidP="00787F5F">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AD03E3">
              <w:rPr>
                <w:rFonts w:ascii="Calibri" w:hAnsi="Calibri"/>
                <w:color w:val="000000"/>
                <w:sz w:val="24"/>
              </w:rPr>
              <w:t>Bağımsız İHO</w:t>
            </w:r>
          </w:p>
        </w:tc>
        <w:tc>
          <w:tcPr>
            <w:tcW w:w="1736" w:type="dxa"/>
          </w:tcPr>
          <w:p w:rsidR="006D2CC2" w:rsidRPr="00AD03E3" w:rsidRDefault="006D2CC2" w:rsidP="00787F5F">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AD03E3">
              <w:rPr>
                <w:rFonts w:ascii="Calibri" w:hAnsi="Calibri"/>
                <w:color w:val="000000"/>
                <w:sz w:val="24"/>
              </w:rPr>
              <w:t>İHL içinde İHO</w:t>
            </w:r>
          </w:p>
        </w:tc>
        <w:tc>
          <w:tcPr>
            <w:tcW w:w="1570" w:type="dxa"/>
          </w:tcPr>
          <w:p w:rsidR="006D2CC2" w:rsidRPr="00AD03E3" w:rsidRDefault="006D2CC2" w:rsidP="00787F5F">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AD03E3">
              <w:rPr>
                <w:rFonts w:ascii="Calibri" w:hAnsi="Calibri"/>
                <w:color w:val="000000"/>
                <w:sz w:val="24"/>
              </w:rPr>
              <w:t>Toplam İHO</w:t>
            </w:r>
          </w:p>
        </w:tc>
        <w:tc>
          <w:tcPr>
            <w:tcW w:w="1720" w:type="dxa"/>
          </w:tcPr>
          <w:p w:rsidR="006D2CC2" w:rsidRPr="00AD03E3" w:rsidRDefault="006D2CC2" w:rsidP="00787F5F">
            <w:pPr>
              <w:jc w:val="center"/>
              <w:cnfStyle w:val="100000000000" w:firstRow="1" w:lastRow="0" w:firstColumn="0" w:lastColumn="0" w:oddVBand="0" w:evenVBand="0" w:oddHBand="0" w:evenHBand="0" w:firstRowFirstColumn="0" w:firstRowLastColumn="0" w:lastRowFirstColumn="0" w:lastRowLastColumn="0"/>
              <w:rPr>
                <w:rFonts w:ascii="Calibri" w:hAnsi="Calibri"/>
                <w:color w:val="000000"/>
                <w:sz w:val="24"/>
              </w:rPr>
            </w:pPr>
            <w:r w:rsidRPr="00AD03E3">
              <w:rPr>
                <w:rFonts w:ascii="Calibri" w:hAnsi="Calibri"/>
                <w:color w:val="000000"/>
                <w:sz w:val="24"/>
              </w:rPr>
              <w:t>Öğrenci Sayısı</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0" w:type="dxa"/>
          </w:tcPr>
          <w:p w:rsidR="006D2CC2" w:rsidRPr="006D7756" w:rsidRDefault="006D2CC2" w:rsidP="00787F5F">
            <w:pPr>
              <w:jc w:val="center"/>
              <w:rPr>
                <w:rFonts w:ascii="Calibri" w:hAnsi="Calibri"/>
                <w:b w:val="0"/>
                <w:bCs w:val="0"/>
                <w:sz w:val="24"/>
              </w:rPr>
            </w:pPr>
            <w:r w:rsidRPr="006D7756">
              <w:rPr>
                <w:rFonts w:ascii="Calibri" w:hAnsi="Calibri"/>
                <w:b w:val="0"/>
                <w:bCs w:val="0"/>
                <w:sz w:val="24"/>
              </w:rPr>
              <w:t>2012/’13</w:t>
            </w:r>
          </w:p>
        </w:tc>
        <w:tc>
          <w:tcPr>
            <w:tcW w:w="152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730</w:t>
            </w:r>
          </w:p>
        </w:tc>
        <w:tc>
          <w:tcPr>
            <w:tcW w:w="173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369</w:t>
            </w:r>
          </w:p>
        </w:tc>
        <w:tc>
          <w:tcPr>
            <w:tcW w:w="157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1.099</w:t>
            </w:r>
          </w:p>
        </w:tc>
        <w:tc>
          <w:tcPr>
            <w:tcW w:w="172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94.467</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280" w:type="dxa"/>
          </w:tcPr>
          <w:p w:rsidR="006D2CC2" w:rsidRPr="006D7756" w:rsidRDefault="006D2CC2" w:rsidP="00787F5F">
            <w:pPr>
              <w:jc w:val="center"/>
              <w:rPr>
                <w:rFonts w:ascii="Calibri" w:hAnsi="Calibri"/>
                <w:b w:val="0"/>
                <w:bCs w:val="0"/>
                <w:sz w:val="24"/>
              </w:rPr>
            </w:pPr>
            <w:r w:rsidRPr="006D7756">
              <w:rPr>
                <w:rFonts w:ascii="Calibri" w:hAnsi="Calibri"/>
                <w:b w:val="0"/>
                <w:bCs w:val="0"/>
                <w:sz w:val="24"/>
              </w:rPr>
              <w:t>2013/’14</w:t>
            </w:r>
          </w:p>
        </w:tc>
        <w:tc>
          <w:tcPr>
            <w:tcW w:w="152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946</w:t>
            </w:r>
          </w:p>
        </w:tc>
        <w:tc>
          <w:tcPr>
            <w:tcW w:w="173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415</w:t>
            </w:r>
          </w:p>
        </w:tc>
        <w:tc>
          <w:tcPr>
            <w:tcW w:w="157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1.361</w:t>
            </w:r>
          </w:p>
        </w:tc>
        <w:tc>
          <w:tcPr>
            <w:tcW w:w="172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240.015</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0" w:type="dxa"/>
          </w:tcPr>
          <w:p w:rsidR="006D2CC2" w:rsidRPr="006D7756" w:rsidRDefault="006D2CC2" w:rsidP="00787F5F">
            <w:pPr>
              <w:jc w:val="center"/>
              <w:rPr>
                <w:rFonts w:ascii="Calibri" w:hAnsi="Calibri"/>
                <w:b w:val="0"/>
                <w:bCs w:val="0"/>
                <w:sz w:val="24"/>
              </w:rPr>
            </w:pPr>
            <w:r w:rsidRPr="006D7756">
              <w:rPr>
                <w:rFonts w:ascii="Calibri" w:hAnsi="Calibri"/>
                <w:b w:val="0"/>
                <w:bCs w:val="0"/>
                <w:sz w:val="24"/>
              </w:rPr>
              <w:t>2014/’15</w:t>
            </w:r>
          </w:p>
        </w:tc>
        <w:tc>
          <w:tcPr>
            <w:tcW w:w="152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1.219</w:t>
            </w:r>
          </w:p>
        </w:tc>
        <w:tc>
          <w:tcPr>
            <w:tcW w:w="173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378</w:t>
            </w:r>
          </w:p>
        </w:tc>
        <w:tc>
          <w:tcPr>
            <w:tcW w:w="157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1.597</w:t>
            </w:r>
          </w:p>
        </w:tc>
        <w:tc>
          <w:tcPr>
            <w:tcW w:w="172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385.830</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280" w:type="dxa"/>
          </w:tcPr>
          <w:p w:rsidR="006D2CC2" w:rsidRPr="006D7756" w:rsidRDefault="006D2CC2" w:rsidP="00787F5F">
            <w:pPr>
              <w:jc w:val="center"/>
              <w:rPr>
                <w:rFonts w:ascii="Calibri" w:hAnsi="Calibri"/>
                <w:b w:val="0"/>
                <w:bCs w:val="0"/>
                <w:sz w:val="24"/>
              </w:rPr>
            </w:pPr>
            <w:r w:rsidRPr="006D7756">
              <w:rPr>
                <w:rFonts w:ascii="Calibri" w:hAnsi="Calibri"/>
                <w:b w:val="0"/>
                <w:bCs w:val="0"/>
                <w:sz w:val="24"/>
              </w:rPr>
              <w:t>2015/’16</w:t>
            </w:r>
          </w:p>
        </w:tc>
        <w:tc>
          <w:tcPr>
            <w:tcW w:w="152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1.622</w:t>
            </w:r>
          </w:p>
        </w:tc>
        <w:tc>
          <w:tcPr>
            <w:tcW w:w="173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339</w:t>
            </w:r>
          </w:p>
        </w:tc>
        <w:tc>
          <w:tcPr>
            <w:tcW w:w="157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1.961</w:t>
            </w:r>
          </w:p>
        </w:tc>
        <w:tc>
          <w:tcPr>
            <w:tcW w:w="172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524.295</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0" w:type="dxa"/>
          </w:tcPr>
          <w:p w:rsidR="006D2CC2" w:rsidRPr="006D7756" w:rsidRDefault="006D2CC2" w:rsidP="00787F5F">
            <w:pPr>
              <w:jc w:val="center"/>
              <w:rPr>
                <w:rFonts w:ascii="Calibri" w:hAnsi="Calibri"/>
                <w:b w:val="0"/>
                <w:bCs w:val="0"/>
                <w:sz w:val="24"/>
              </w:rPr>
            </w:pPr>
            <w:r w:rsidRPr="006D7756">
              <w:rPr>
                <w:rFonts w:ascii="Calibri" w:hAnsi="Calibri"/>
                <w:b w:val="0"/>
                <w:bCs w:val="0"/>
                <w:sz w:val="24"/>
              </w:rPr>
              <w:t>2016/’17</w:t>
            </w:r>
          </w:p>
        </w:tc>
        <w:tc>
          <w:tcPr>
            <w:tcW w:w="152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2.326</w:t>
            </w:r>
          </w:p>
        </w:tc>
        <w:tc>
          <w:tcPr>
            <w:tcW w:w="173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345</w:t>
            </w:r>
          </w:p>
        </w:tc>
        <w:tc>
          <w:tcPr>
            <w:tcW w:w="157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2.671</w:t>
            </w:r>
          </w:p>
        </w:tc>
        <w:tc>
          <w:tcPr>
            <w:tcW w:w="172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651.954</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280" w:type="dxa"/>
          </w:tcPr>
          <w:p w:rsidR="006D2CC2" w:rsidRPr="006D7756" w:rsidRDefault="006D2CC2" w:rsidP="00787F5F">
            <w:pPr>
              <w:jc w:val="center"/>
              <w:rPr>
                <w:rFonts w:ascii="Calibri" w:hAnsi="Calibri"/>
                <w:b w:val="0"/>
                <w:bCs w:val="0"/>
                <w:sz w:val="24"/>
              </w:rPr>
            </w:pPr>
            <w:r w:rsidRPr="006D7756">
              <w:rPr>
                <w:rFonts w:cstheme="minorHAnsi"/>
                <w:b w:val="0"/>
                <w:bCs w:val="0"/>
                <w:sz w:val="24"/>
              </w:rPr>
              <w:t>2017/’18</w:t>
            </w:r>
          </w:p>
        </w:tc>
        <w:tc>
          <w:tcPr>
            <w:tcW w:w="152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2.859</w:t>
            </w:r>
          </w:p>
        </w:tc>
        <w:tc>
          <w:tcPr>
            <w:tcW w:w="173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427</w:t>
            </w:r>
          </w:p>
        </w:tc>
        <w:tc>
          <w:tcPr>
            <w:tcW w:w="157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3.286</w:t>
            </w:r>
          </w:p>
        </w:tc>
        <w:tc>
          <w:tcPr>
            <w:tcW w:w="172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723.108</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280" w:type="dxa"/>
          </w:tcPr>
          <w:p w:rsidR="006D2CC2" w:rsidRPr="006D7756" w:rsidRDefault="006D2CC2" w:rsidP="00787F5F">
            <w:pPr>
              <w:jc w:val="center"/>
              <w:rPr>
                <w:rFonts w:ascii="Calibri" w:hAnsi="Calibri"/>
                <w:b w:val="0"/>
                <w:bCs w:val="0"/>
                <w:sz w:val="24"/>
              </w:rPr>
            </w:pPr>
            <w:r w:rsidRPr="006D7756">
              <w:rPr>
                <w:rFonts w:cstheme="minorHAnsi"/>
                <w:b w:val="0"/>
                <w:bCs w:val="0"/>
                <w:sz w:val="24"/>
              </w:rPr>
              <w:t>2018/’19</w:t>
            </w:r>
          </w:p>
        </w:tc>
        <w:tc>
          <w:tcPr>
            <w:tcW w:w="152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2.847</w:t>
            </w:r>
          </w:p>
        </w:tc>
        <w:tc>
          <w:tcPr>
            <w:tcW w:w="1736"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547</w:t>
            </w:r>
          </w:p>
        </w:tc>
        <w:tc>
          <w:tcPr>
            <w:tcW w:w="157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3.394</w:t>
            </w:r>
          </w:p>
        </w:tc>
        <w:tc>
          <w:tcPr>
            <w:tcW w:w="1720" w:type="dxa"/>
          </w:tcPr>
          <w:p w:rsidR="006D2CC2" w:rsidRPr="006D7756" w:rsidRDefault="006D2CC2" w:rsidP="00787F5F">
            <w:pPr>
              <w:jc w:val="center"/>
              <w:cnfStyle w:val="000000100000" w:firstRow="0" w:lastRow="0" w:firstColumn="0" w:lastColumn="0" w:oddVBand="0" w:evenVBand="0" w:oddHBand="1" w:evenHBand="0" w:firstRowFirstColumn="0" w:firstRowLastColumn="0" w:lastRowFirstColumn="0" w:lastRowLastColumn="0"/>
              <w:rPr>
                <w:rFonts w:ascii="Calibri" w:hAnsi="Calibri"/>
                <w:sz w:val="24"/>
              </w:rPr>
            </w:pPr>
            <w:r w:rsidRPr="006D7756">
              <w:rPr>
                <w:rFonts w:ascii="Calibri" w:hAnsi="Calibri"/>
                <w:sz w:val="24"/>
              </w:rPr>
              <w:t>761.785</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1280" w:type="dxa"/>
          </w:tcPr>
          <w:p w:rsidR="006D2CC2" w:rsidRPr="006D7756" w:rsidRDefault="006D2CC2" w:rsidP="00787F5F">
            <w:pPr>
              <w:jc w:val="center"/>
              <w:rPr>
                <w:rFonts w:ascii="Calibri" w:hAnsi="Calibri"/>
                <w:b w:val="0"/>
                <w:sz w:val="24"/>
              </w:rPr>
            </w:pPr>
            <w:r w:rsidRPr="006D7756">
              <w:rPr>
                <w:rFonts w:ascii="Calibri" w:hAnsi="Calibri"/>
                <w:b w:val="0"/>
                <w:sz w:val="24"/>
              </w:rPr>
              <w:t>2019/’20</w:t>
            </w:r>
          </w:p>
        </w:tc>
        <w:tc>
          <w:tcPr>
            <w:tcW w:w="152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2.822</w:t>
            </w:r>
          </w:p>
        </w:tc>
        <w:tc>
          <w:tcPr>
            <w:tcW w:w="1736"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615</w:t>
            </w:r>
          </w:p>
        </w:tc>
        <w:tc>
          <w:tcPr>
            <w:tcW w:w="157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3.437</w:t>
            </w:r>
          </w:p>
        </w:tc>
        <w:tc>
          <w:tcPr>
            <w:tcW w:w="1720" w:type="dxa"/>
          </w:tcPr>
          <w:p w:rsidR="006D2CC2" w:rsidRPr="006D7756" w:rsidRDefault="006D2CC2" w:rsidP="00787F5F">
            <w:pPr>
              <w:jc w:val="center"/>
              <w:cnfStyle w:val="000000000000" w:firstRow="0" w:lastRow="0" w:firstColumn="0" w:lastColumn="0" w:oddVBand="0" w:evenVBand="0" w:oddHBand="0" w:evenHBand="0" w:firstRowFirstColumn="0" w:firstRowLastColumn="0" w:lastRowFirstColumn="0" w:lastRowLastColumn="0"/>
              <w:rPr>
                <w:rFonts w:ascii="Calibri" w:hAnsi="Calibri"/>
                <w:sz w:val="24"/>
              </w:rPr>
            </w:pPr>
            <w:r w:rsidRPr="006D7756">
              <w:rPr>
                <w:rFonts w:ascii="Calibri" w:hAnsi="Calibri"/>
                <w:sz w:val="24"/>
              </w:rPr>
              <w:t>777.439</w:t>
            </w:r>
          </w:p>
        </w:tc>
      </w:tr>
    </w:tbl>
    <w:p w:rsidR="006D2CC2" w:rsidRPr="006B1C32" w:rsidRDefault="006D2CC2" w:rsidP="006D2CC2">
      <w:pPr>
        <w:ind w:firstLine="360"/>
        <w:rPr>
          <w:rFonts w:ascii="Calibri" w:hAnsi="Calibri"/>
          <w:sz w:val="16"/>
          <w:szCs w:val="16"/>
        </w:rPr>
      </w:pPr>
    </w:p>
    <w:p w:rsidR="006D2CC2" w:rsidRDefault="006D2CC2" w:rsidP="006D2CC2">
      <w:pPr>
        <w:ind w:firstLine="360"/>
        <w:rPr>
          <w:rFonts w:ascii="Calibri" w:hAnsi="Calibri"/>
          <w:bCs/>
          <w:sz w:val="24"/>
          <w:szCs w:val="24"/>
        </w:rPr>
      </w:pPr>
      <w:r w:rsidRPr="006D7756">
        <w:rPr>
          <w:rFonts w:ascii="Calibri" w:hAnsi="Calibri"/>
          <w:bCs/>
          <w:sz w:val="24"/>
          <w:szCs w:val="24"/>
        </w:rPr>
        <w:lastRenderedPageBreak/>
        <w:t xml:space="preserve">2012-2013 eğitim öğretim yılında 730’u bağımsız, 369’u imam hatip lisesi bünyesinde toplam 1.099 imam hatip ortaokulu varken </w:t>
      </w:r>
      <w:r w:rsidRPr="006D7756">
        <w:rPr>
          <w:rFonts w:ascii="Calibri" w:hAnsi="Calibri"/>
          <w:color w:val="000000"/>
          <w:sz w:val="24"/>
          <w:szCs w:val="24"/>
        </w:rPr>
        <w:t xml:space="preserve">2019/’20 </w:t>
      </w:r>
      <w:r w:rsidRPr="006D7756">
        <w:rPr>
          <w:rFonts w:ascii="Calibri" w:hAnsi="Calibri"/>
          <w:bCs/>
          <w:sz w:val="24"/>
          <w:szCs w:val="24"/>
        </w:rPr>
        <w:t xml:space="preserve">eğitim-öğretim yılı sonu itibariyle </w:t>
      </w:r>
      <w:r w:rsidRPr="007519FB">
        <w:rPr>
          <w:rFonts w:ascii="Calibri" w:hAnsi="Calibri"/>
          <w:b/>
          <w:bCs/>
          <w:sz w:val="24"/>
          <w:szCs w:val="24"/>
        </w:rPr>
        <w:t>2 bin 822</w:t>
      </w:r>
      <w:r w:rsidRPr="006D7756">
        <w:rPr>
          <w:rFonts w:ascii="Calibri" w:hAnsi="Calibri"/>
          <w:bCs/>
          <w:sz w:val="24"/>
          <w:szCs w:val="24"/>
        </w:rPr>
        <w:t xml:space="preserve">’si bağımsız, </w:t>
      </w:r>
      <w:r w:rsidRPr="007519FB">
        <w:rPr>
          <w:rFonts w:ascii="Calibri" w:hAnsi="Calibri"/>
          <w:b/>
          <w:bCs/>
          <w:sz w:val="24"/>
          <w:szCs w:val="24"/>
        </w:rPr>
        <w:t>615</w:t>
      </w:r>
      <w:r w:rsidRPr="006D7756">
        <w:rPr>
          <w:rFonts w:ascii="Calibri" w:hAnsi="Calibri"/>
          <w:bCs/>
          <w:sz w:val="24"/>
          <w:szCs w:val="24"/>
        </w:rPr>
        <w:t xml:space="preserve">’i imam hatip lisesi bünyesinde olmak üzere toplam </w:t>
      </w:r>
      <w:r w:rsidRPr="007519FB">
        <w:rPr>
          <w:rFonts w:ascii="Calibri" w:hAnsi="Calibri"/>
          <w:b/>
          <w:bCs/>
          <w:sz w:val="24"/>
          <w:szCs w:val="24"/>
        </w:rPr>
        <w:t>3 bin 437</w:t>
      </w:r>
      <w:r w:rsidRPr="006D7756">
        <w:rPr>
          <w:rFonts w:ascii="Calibri" w:hAnsi="Calibri"/>
          <w:bCs/>
          <w:sz w:val="24"/>
          <w:szCs w:val="24"/>
        </w:rPr>
        <w:t xml:space="preserve"> imam hatip ortaokulu bulunmaktadır. İmam hatip ortaokullarında okuyan toplam öğrenci sayısı 2012-2013 eğitim öğretim yılında </w:t>
      </w:r>
      <w:r w:rsidRPr="007519FB">
        <w:rPr>
          <w:rFonts w:ascii="Calibri" w:hAnsi="Calibri"/>
          <w:b/>
          <w:bCs/>
          <w:sz w:val="24"/>
          <w:szCs w:val="24"/>
        </w:rPr>
        <w:t>94 bin 467</w:t>
      </w:r>
      <w:r w:rsidRPr="006D7756">
        <w:rPr>
          <w:rFonts w:ascii="Calibri" w:hAnsi="Calibri"/>
          <w:bCs/>
          <w:sz w:val="24"/>
          <w:szCs w:val="24"/>
        </w:rPr>
        <w:t xml:space="preserve"> iken, </w:t>
      </w:r>
      <w:r w:rsidRPr="006D7756">
        <w:rPr>
          <w:rFonts w:ascii="Calibri" w:hAnsi="Calibri"/>
          <w:color w:val="000000"/>
          <w:sz w:val="24"/>
          <w:szCs w:val="24"/>
        </w:rPr>
        <w:t xml:space="preserve">2019/’20 </w:t>
      </w:r>
      <w:r w:rsidRPr="006D7756">
        <w:rPr>
          <w:rFonts w:ascii="Calibri" w:hAnsi="Calibri"/>
          <w:bCs/>
          <w:sz w:val="24"/>
          <w:szCs w:val="24"/>
        </w:rPr>
        <w:t xml:space="preserve">eğitim öğretim yılı sonu itibariyle </w:t>
      </w:r>
      <w:r w:rsidRPr="007519FB">
        <w:rPr>
          <w:rFonts w:ascii="Calibri" w:hAnsi="Calibri"/>
          <w:b/>
          <w:bCs/>
          <w:sz w:val="24"/>
          <w:szCs w:val="24"/>
        </w:rPr>
        <w:t>8 kat</w:t>
      </w:r>
      <w:r w:rsidRPr="006D7756">
        <w:rPr>
          <w:rFonts w:ascii="Calibri" w:hAnsi="Calibri"/>
          <w:bCs/>
          <w:sz w:val="24"/>
          <w:szCs w:val="24"/>
        </w:rPr>
        <w:t xml:space="preserve"> artarak </w:t>
      </w:r>
      <w:r w:rsidRPr="007519FB">
        <w:rPr>
          <w:rFonts w:ascii="Calibri" w:hAnsi="Calibri"/>
          <w:b/>
          <w:bCs/>
          <w:sz w:val="24"/>
          <w:szCs w:val="24"/>
        </w:rPr>
        <w:t>777 bin 439</w:t>
      </w:r>
      <w:r w:rsidRPr="006D7756">
        <w:rPr>
          <w:rFonts w:ascii="Calibri" w:hAnsi="Calibri"/>
          <w:bCs/>
          <w:sz w:val="24"/>
          <w:szCs w:val="24"/>
        </w:rPr>
        <w:t xml:space="preserve"> olmuştur. Bu artışın en önemli nedeninin MEB’in imam hatip ortaokullarına yönelik okullaşma politikası olduğu açıktır. </w:t>
      </w:r>
    </w:p>
    <w:p w:rsidR="006D2CC2" w:rsidRPr="006D7756" w:rsidRDefault="006D2CC2" w:rsidP="006D2CC2">
      <w:pPr>
        <w:ind w:firstLine="360"/>
        <w:rPr>
          <w:rFonts w:ascii="Calibri" w:hAnsi="Calibri"/>
          <w:bCs/>
          <w:sz w:val="24"/>
          <w:szCs w:val="24"/>
        </w:rPr>
      </w:pPr>
    </w:p>
    <w:p w:rsidR="006D2CC2" w:rsidRPr="00FD7DAA" w:rsidRDefault="006D2CC2" w:rsidP="006D2CC2">
      <w:pPr>
        <w:pStyle w:val="Balk2"/>
        <w:spacing w:before="0" w:after="0"/>
        <w:ind w:left="1416" w:firstLine="708"/>
        <w:rPr>
          <w:rFonts w:ascii="Calibri" w:hAnsi="Calibri" w:cs="Times New Roman"/>
          <w:i w:val="0"/>
          <w:color w:val="000000" w:themeColor="text1"/>
          <w:sz w:val="24"/>
          <w:szCs w:val="24"/>
        </w:rPr>
      </w:pPr>
      <w:r>
        <w:rPr>
          <w:rFonts w:ascii="Calibri" w:hAnsi="Calibri" w:cs="Times New Roman"/>
          <w:i w:val="0"/>
          <w:color w:val="000000" w:themeColor="text1"/>
          <w:sz w:val="24"/>
          <w:szCs w:val="24"/>
        </w:rPr>
        <w:t xml:space="preserve">   </w:t>
      </w:r>
      <w:r w:rsidRPr="00FD7DAA">
        <w:rPr>
          <w:rFonts w:ascii="Calibri" w:hAnsi="Calibri" w:cs="Times New Roman"/>
          <w:i w:val="0"/>
          <w:color w:val="000000" w:themeColor="text1"/>
          <w:sz w:val="24"/>
          <w:szCs w:val="24"/>
        </w:rPr>
        <w:t>İmam Hatip Liseleri (İHL) ve Okuyan Öğrenci Sayısı</w:t>
      </w:r>
    </w:p>
    <w:p w:rsidR="006D2CC2" w:rsidRPr="008A2DCB" w:rsidRDefault="006D2CC2" w:rsidP="006D2CC2">
      <w:pPr>
        <w:jc w:val="center"/>
        <w:rPr>
          <w:rFonts w:ascii="Calibri" w:hAnsi="Calibri"/>
          <w:sz w:val="16"/>
          <w:szCs w:val="16"/>
        </w:rPr>
      </w:pPr>
    </w:p>
    <w:tbl>
      <w:tblPr>
        <w:tblStyle w:val="KlavuzuTablo4-Vurgu2"/>
        <w:tblW w:w="0" w:type="auto"/>
        <w:jc w:val="center"/>
        <w:tblLook w:val="01E0" w:firstRow="1" w:lastRow="1" w:firstColumn="1" w:lastColumn="1" w:noHBand="0" w:noVBand="0"/>
      </w:tblPr>
      <w:tblGrid>
        <w:gridCol w:w="2026"/>
        <w:gridCol w:w="1720"/>
        <w:gridCol w:w="1315"/>
      </w:tblGrid>
      <w:tr w:rsidR="006D2CC2" w:rsidRPr="006D7756" w:rsidTr="00787F5F">
        <w:trPr>
          <w:cnfStyle w:val="100000000000" w:firstRow="1" w:lastRow="0" w:firstColumn="0" w:lastColumn="0" w:oddVBand="0" w:evenVBand="0" w:oddHBand="0"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AD03E3" w:rsidRDefault="006D2CC2" w:rsidP="00787F5F">
            <w:pPr>
              <w:jc w:val="center"/>
              <w:rPr>
                <w:rFonts w:ascii="Calibri" w:hAnsi="Calibri"/>
                <w:color w:val="000000"/>
                <w:sz w:val="24"/>
                <w:szCs w:val="24"/>
              </w:rPr>
            </w:pPr>
            <w:r w:rsidRPr="00AD03E3">
              <w:rPr>
                <w:rFonts w:ascii="Calibri" w:hAnsi="Calibri"/>
                <w:color w:val="000000"/>
                <w:sz w:val="24"/>
                <w:szCs w:val="24"/>
              </w:rPr>
              <w:t>Eğitim Yılı</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AD03E3" w:rsidRDefault="006D2CC2" w:rsidP="00787F5F">
            <w:pPr>
              <w:jc w:val="center"/>
              <w:rPr>
                <w:rFonts w:ascii="Calibri" w:hAnsi="Calibri"/>
                <w:color w:val="000000"/>
                <w:sz w:val="24"/>
                <w:szCs w:val="24"/>
              </w:rPr>
            </w:pPr>
            <w:r w:rsidRPr="00AD03E3">
              <w:rPr>
                <w:rFonts w:ascii="Calibri" w:hAnsi="Calibri"/>
                <w:color w:val="000000"/>
                <w:sz w:val="24"/>
                <w:szCs w:val="24"/>
              </w:rPr>
              <w:t>Öğrenci Sayısı</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AD03E3" w:rsidRDefault="006D2CC2" w:rsidP="00787F5F">
            <w:pPr>
              <w:jc w:val="center"/>
              <w:rPr>
                <w:rFonts w:ascii="Calibri" w:hAnsi="Calibri"/>
                <w:color w:val="000000"/>
                <w:sz w:val="24"/>
                <w:szCs w:val="24"/>
              </w:rPr>
            </w:pPr>
            <w:r w:rsidRPr="00AD03E3">
              <w:rPr>
                <w:rFonts w:ascii="Calibri" w:hAnsi="Calibri"/>
                <w:color w:val="000000"/>
                <w:sz w:val="24"/>
                <w:szCs w:val="24"/>
              </w:rPr>
              <w:t>Okul Sayısı</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D95744" w:rsidRDefault="006D2CC2" w:rsidP="00787F5F">
            <w:pPr>
              <w:jc w:val="center"/>
              <w:rPr>
                <w:rFonts w:ascii="Calibri" w:hAnsi="Calibri"/>
                <w:bCs w:val="0"/>
                <w:sz w:val="24"/>
                <w:szCs w:val="24"/>
              </w:rPr>
            </w:pPr>
            <w:r w:rsidRPr="00D95744">
              <w:rPr>
                <w:rFonts w:ascii="Calibri" w:hAnsi="Calibri"/>
                <w:bCs w:val="0"/>
                <w:sz w:val="24"/>
                <w:szCs w:val="24"/>
              </w:rPr>
              <w:t>2002/’03</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D95744" w:rsidRDefault="006D2CC2" w:rsidP="00787F5F">
            <w:pPr>
              <w:jc w:val="center"/>
              <w:rPr>
                <w:rFonts w:ascii="Calibri" w:hAnsi="Calibri"/>
                <w:b/>
                <w:sz w:val="24"/>
                <w:szCs w:val="24"/>
              </w:rPr>
            </w:pPr>
            <w:r w:rsidRPr="00D95744">
              <w:rPr>
                <w:rFonts w:ascii="Calibri" w:hAnsi="Calibri"/>
                <w:b/>
                <w:sz w:val="24"/>
                <w:szCs w:val="24"/>
              </w:rPr>
              <w:t>71.100</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D95744" w:rsidRDefault="006D2CC2" w:rsidP="00787F5F">
            <w:pPr>
              <w:jc w:val="center"/>
              <w:rPr>
                <w:rFonts w:ascii="Calibri" w:hAnsi="Calibri"/>
                <w:bCs w:val="0"/>
                <w:sz w:val="24"/>
                <w:szCs w:val="24"/>
              </w:rPr>
            </w:pPr>
            <w:r w:rsidRPr="00D95744">
              <w:rPr>
                <w:rFonts w:ascii="Calibri" w:hAnsi="Calibri"/>
                <w:bCs w:val="0"/>
                <w:sz w:val="24"/>
                <w:szCs w:val="24"/>
              </w:rPr>
              <w:t>450</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2003/’04</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90.606</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452</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2004/’05</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96.851</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452</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2005/’06</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108.064</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453</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2006/’07</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120.668</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455</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2007/’08</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129.274</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456</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2008/’09</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143.637</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458</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2009/’10</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198.581</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465</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2010/’11</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235.639</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493</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2011/’12</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268.245</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537</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2012/’13</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380.771</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708</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2013/’14</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474.096</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854</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2014/’15</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sz w:val="24"/>
                <w:szCs w:val="24"/>
              </w:rPr>
            </w:pPr>
            <w:r w:rsidRPr="006D7756">
              <w:rPr>
                <w:rFonts w:ascii="Calibri" w:hAnsi="Calibri"/>
                <w:sz w:val="24"/>
                <w:szCs w:val="24"/>
              </w:rPr>
              <w:t>546.443</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1.017</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2015/’16</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bCs/>
                <w:sz w:val="24"/>
                <w:szCs w:val="24"/>
              </w:rPr>
            </w:pPr>
            <w:r w:rsidRPr="006D7756">
              <w:rPr>
                <w:rFonts w:ascii="Calibri" w:hAnsi="Calibri"/>
                <w:bCs/>
                <w:sz w:val="24"/>
                <w:szCs w:val="24"/>
              </w:rPr>
              <w:t>555.870</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1.149</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2016/’17</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bCs/>
                <w:sz w:val="24"/>
                <w:szCs w:val="24"/>
              </w:rPr>
            </w:pPr>
            <w:r w:rsidRPr="006D7756">
              <w:rPr>
                <w:rFonts w:ascii="Calibri" w:hAnsi="Calibri"/>
                <w:bCs/>
                <w:sz w:val="24"/>
                <w:szCs w:val="24"/>
              </w:rPr>
              <w:t>506.516</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1.452</w:t>
            </w:r>
          </w:p>
        </w:tc>
      </w:tr>
      <w:tr w:rsidR="006D2CC2" w:rsidRPr="006D7756" w:rsidTr="00787F5F">
        <w:trPr>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2017/’18</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bCs/>
                <w:sz w:val="24"/>
                <w:szCs w:val="24"/>
              </w:rPr>
            </w:pPr>
            <w:r w:rsidRPr="006D7756">
              <w:rPr>
                <w:rFonts w:ascii="Calibri" w:hAnsi="Calibri"/>
                <w:bCs/>
                <w:sz w:val="24"/>
                <w:szCs w:val="24"/>
              </w:rPr>
              <w:t>514.806</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1.604</w:t>
            </w:r>
          </w:p>
        </w:tc>
      </w:tr>
      <w:tr w:rsidR="006D2CC2" w:rsidRPr="006D7756" w:rsidTr="00787F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2018/’19</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6D7756" w:rsidRDefault="006D2CC2" w:rsidP="00787F5F">
            <w:pPr>
              <w:jc w:val="center"/>
              <w:rPr>
                <w:rFonts w:ascii="Calibri" w:hAnsi="Calibri"/>
                <w:bCs/>
                <w:sz w:val="24"/>
                <w:szCs w:val="24"/>
              </w:rPr>
            </w:pPr>
            <w:r w:rsidRPr="006D7756">
              <w:rPr>
                <w:rFonts w:ascii="Calibri" w:hAnsi="Calibri"/>
                <w:sz w:val="24"/>
                <w:szCs w:val="24"/>
              </w:rPr>
              <w:t>498.002</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6D7756" w:rsidRDefault="006D2CC2" w:rsidP="00787F5F">
            <w:pPr>
              <w:jc w:val="center"/>
              <w:rPr>
                <w:rFonts w:ascii="Calibri" w:hAnsi="Calibri"/>
                <w:b w:val="0"/>
                <w:bCs w:val="0"/>
                <w:sz w:val="24"/>
                <w:szCs w:val="24"/>
              </w:rPr>
            </w:pPr>
            <w:r w:rsidRPr="006D7756">
              <w:rPr>
                <w:rFonts w:ascii="Calibri" w:hAnsi="Calibri"/>
                <w:b w:val="0"/>
                <w:bCs w:val="0"/>
                <w:sz w:val="24"/>
                <w:szCs w:val="24"/>
              </w:rPr>
              <w:t>1.623</w:t>
            </w:r>
          </w:p>
        </w:tc>
      </w:tr>
      <w:tr w:rsidR="006D2CC2" w:rsidRPr="006D7756" w:rsidTr="00787F5F">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26" w:type="dxa"/>
          </w:tcPr>
          <w:p w:rsidR="006D2CC2" w:rsidRPr="00D95744" w:rsidRDefault="006D2CC2" w:rsidP="00787F5F">
            <w:pPr>
              <w:jc w:val="center"/>
              <w:rPr>
                <w:rFonts w:ascii="Calibri" w:hAnsi="Calibri"/>
                <w:sz w:val="24"/>
                <w:szCs w:val="24"/>
              </w:rPr>
            </w:pPr>
            <w:r w:rsidRPr="00D95744">
              <w:rPr>
                <w:rFonts w:ascii="Calibri" w:hAnsi="Calibri"/>
                <w:sz w:val="24"/>
                <w:szCs w:val="24"/>
              </w:rPr>
              <w:t>2019/’20</w:t>
            </w:r>
          </w:p>
        </w:tc>
        <w:tc>
          <w:tcPr>
            <w:cnfStyle w:val="000010000000" w:firstRow="0" w:lastRow="0" w:firstColumn="0" w:lastColumn="0" w:oddVBand="1" w:evenVBand="0" w:oddHBand="0" w:evenHBand="0" w:firstRowFirstColumn="0" w:firstRowLastColumn="0" w:lastRowFirstColumn="0" w:lastRowLastColumn="0"/>
            <w:tcW w:w="1720" w:type="dxa"/>
          </w:tcPr>
          <w:p w:rsidR="006D2CC2" w:rsidRPr="00D95744" w:rsidRDefault="006D2CC2" w:rsidP="00787F5F">
            <w:pPr>
              <w:jc w:val="center"/>
              <w:rPr>
                <w:rFonts w:ascii="Calibri" w:hAnsi="Calibri"/>
                <w:sz w:val="24"/>
                <w:szCs w:val="24"/>
              </w:rPr>
            </w:pPr>
            <w:r w:rsidRPr="00D95744">
              <w:rPr>
                <w:rFonts w:ascii="Calibri" w:hAnsi="Calibri"/>
                <w:sz w:val="24"/>
                <w:szCs w:val="24"/>
              </w:rPr>
              <w:t>495.659</w:t>
            </w:r>
          </w:p>
        </w:tc>
        <w:tc>
          <w:tcPr>
            <w:cnfStyle w:val="000100000000" w:firstRow="0" w:lastRow="0" w:firstColumn="0" w:lastColumn="1" w:oddVBand="0" w:evenVBand="0" w:oddHBand="0" w:evenHBand="0" w:firstRowFirstColumn="0" w:firstRowLastColumn="0" w:lastRowFirstColumn="0" w:lastRowLastColumn="0"/>
            <w:tcW w:w="1315" w:type="dxa"/>
          </w:tcPr>
          <w:p w:rsidR="006D2CC2" w:rsidRPr="00D95744" w:rsidRDefault="006D2CC2" w:rsidP="00787F5F">
            <w:pPr>
              <w:jc w:val="center"/>
              <w:rPr>
                <w:rFonts w:ascii="Calibri" w:hAnsi="Calibri"/>
                <w:sz w:val="24"/>
                <w:szCs w:val="24"/>
              </w:rPr>
            </w:pPr>
            <w:r w:rsidRPr="00D95744">
              <w:rPr>
                <w:rFonts w:ascii="Calibri" w:hAnsi="Calibri"/>
                <w:sz w:val="24"/>
                <w:szCs w:val="24"/>
              </w:rPr>
              <w:t>1.650</w:t>
            </w:r>
          </w:p>
        </w:tc>
      </w:tr>
    </w:tbl>
    <w:p w:rsidR="006D2CC2" w:rsidRDefault="006D2CC2" w:rsidP="006D2CC2">
      <w:pPr>
        <w:pStyle w:val="NormalWeb"/>
        <w:spacing w:before="0" w:beforeAutospacing="0" w:after="0" w:afterAutospacing="0"/>
        <w:ind w:firstLine="357"/>
        <w:jc w:val="both"/>
        <w:rPr>
          <w:rFonts w:ascii="Calibri" w:hAnsi="Calibri"/>
          <w:bCs/>
          <w:color w:val="000000"/>
        </w:rPr>
      </w:pPr>
    </w:p>
    <w:p w:rsidR="006D2CC2" w:rsidRPr="006D7756" w:rsidRDefault="006D2CC2" w:rsidP="006D2CC2">
      <w:pPr>
        <w:pStyle w:val="NormalWeb"/>
        <w:spacing w:before="0" w:beforeAutospacing="0" w:after="0" w:afterAutospacing="0"/>
        <w:ind w:firstLine="357"/>
        <w:jc w:val="both"/>
        <w:rPr>
          <w:rFonts w:ascii="Calibri" w:hAnsi="Calibri"/>
          <w:bCs/>
          <w:color w:val="000000"/>
        </w:rPr>
      </w:pPr>
      <w:r w:rsidRPr="006D7756">
        <w:rPr>
          <w:rFonts w:ascii="Calibri" w:hAnsi="Calibri"/>
          <w:bCs/>
          <w:color w:val="000000"/>
        </w:rPr>
        <w:t>4+4+4 öncesinde 2011-2012 eğitim öğretim yılında 537 imam hatip lisesinde (İHL) 268 bin 245 öğrenci varken</w:t>
      </w:r>
      <w:r w:rsidR="00CD0B7A">
        <w:rPr>
          <w:rFonts w:ascii="Calibri" w:hAnsi="Calibri"/>
          <w:bCs/>
          <w:color w:val="000000"/>
        </w:rPr>
        <w:t>,</w:t>
      </w:r>
      <w:r w:rsidRPr="006D7756">
        <w:rPr>
          <w:rFonts w:ascii="Calibri" w:hAnsi="Calibri"/>
          <w:bCs/>
          <w:color w:val="000000"/>
        </w:rPr>
        <w:t xml:space="preserve"> 2019/’20 eğitim öğretim yılı sonu itibariyle İHL sayısı bin 650’ye, bu okullarda okuyan öğrenci sayısı ise 495 bin 659’a yükselmiştir. 2019/’20 eğitim öğretim yılı itibariyle açık öğretim imam hatip lisesinde okuyan 107 bin 160 öğrenciyi de eklediğimizde, Türkiye’de </w:t>
      </w:r>
      <w:proofErr w:type="spellStart"/>
      <w:r w:rsidRPr="006D7756">
        <w:rPr>
          <w:rFonts w:ascii="Calibri" w:hAnsi="Calibri"/>
          <w:bCs/>
          <w:color w:val="000000"/>
        </w:rPr>
        <w:t>İHL’lerde</w:t>
      </w:r>
      <w:proofErr w:type="spellEnd"/>
      <w:r w:rsidRPr="006D7756">
        <w:rPr>
          <w:rFonts w:ascii="Calibri" w:hAnsi="Calibri"/>
          <w:bCs/>
          <w:color w:val="000000"/>
        </w:rPr>
        <w:t xml:space="preserve"> okuyan öğrenci sayısı, toplamda 602 bin 819 (önceki 605 bin 869) olmuştur. </w:t>
      </w:r>
    </w:p>
    <w:p w:rsidR="006D2CC2" w:rsidRPr="006D7756" w:rsidRDefault="006D2CC2" w:rsidP="006D2CC2">
      <w:pPr>
        <w:pStyle w:val="NormalWeb"/>
        <w:spacing w:before="0" w:beforeAutospacing="0" w:after="0" w:afterAutospacing="0"/>
        <w:ind w:firstLine="357"/>
        <w:jc w:val="both"/>
        <w:rPr>
          <w:rFonts w:ascii="Calibri" w:hAnsi="Calibri"/>
        </w:rPr>
      </w:pPr>
      <w:r w:rsidRPr="006D7756">
        <w:rPr>
          <w:rFonts w:ascii="Calibri" w:hAnsi="Calibri"/>
          <w:bCs/>
          <w:color w:val="000000"/>
        </w:rPr>
        <w:t xml:space="preserve">Çok sayıda devlet okulunda kalabalık sınıf sorunu varken, yeterli talep olmamasına rağmen İHL yapımına devam edilmesi büyük bir çelişkidir. </w:t>
      </w:r>
      <w:r w:rsidRPr="006D7756">
        <w:rPr>
          <w:rFonts w:ascii="Calibri" w:hAnsi="Calibri"/>
        </w:rPr>
        <w:t xml:space="preserve">Türkiye’de imam hatip okullarında okuyan toplam öğrenci sayısı </w:t>
      </w:r>
      <w:r>
        <w:rPr>
          <w:rFonts w:ascii="Calibri" w:hAnsi="Calibri"/>
        </w:rPr>
        <w:t xml:space="preserve">MEB’in </w:t>
      </w:r>
      <w:r w:rsidRPr="006D7756">
        <w:rPr>
          <w:rFonts w:ascii="Calibri" w:hAnsi="Calibri"/>
        </w:rPr>
        <w:t xml:space="preserve">üstün gayretleri ve devletin bütün imkânlarını seferber etmesi sonucunda </w:t>
      </w:r>
      <w:r w:rsidRPr="008F4B01">
        <w:rPr>
          <w:rFonts w:ascii="Calibri" w:hAnsi="Calibri"/>
          <w:b/>
        </w:rPr>
        <w:t>1 milyon 380 bin 258</w:t>
      </w:r>
      <w:r w:rsidRPr="006D7756">
        <w:rPr>
          <w:rFonts w:ascii="Calibri" w:hAnsi="Calibri"/>
        </w:rPr>
        <w:t>’e çıkmıştır.</w:t>
      </w:r>
    </w:p>
    <w:p w:rsidR="006D2CC2" w:rsidRDefault="006D2CC2" w:rsidP="006D2CC2">
      <w:pPr>
        <w:pStyle w:val="NormalWeb"/>
        <w:spacing w:before="0" w:beforeAutospacing="0" w:after="0" w:afterAutospacing="0"/>
        <w:ind w:firstLine="357"/>
        <w:jc w:val="both"/>
        <w:rPr>
          <w:rFonts w:ascii="Calibri" w:hAnsi="Calibri"/>
          <w:bCs/>
          <w:color w:val="000000"/>
        </w:rPr>
      </w:pPr>
      <w:r>
        <w:rPr>
          <w:rFonts w:ascii="Calibri" w:hAnsi="Calibri"/>
          <w:bCs/>
          <w:color w:val="000000"/>
        </w:rPr>
        <w:t xml:space="preserve">MEB, </w:t>
      </w:r>
      <w:r w:rsidRPr="00AC02CA">
        <w:rPr>
          <w:rFonts w:ascii="Calibri" w:hAnsi="Calibri"/>
          <w:bCs/>
          <w:color w:val="000000"/>
        </w:rPr>
        <w:t>kamu okulları karşısında özel okullara her fırsatta ayrıcalık tanırken</w:t>
      </w:r>
      <w:r>
        <w:rPr>
          <w:rFonts w:ascii="Calibri" w:hAnsi="Calibri"/>
          <w:bCs/>
          <w:color w:val="000000"/>
        </w:rPr>
        <w:t xml:space="preserve">, </w:t>
      </w:r>
      <w:r w:rsidRPr="00AC02CA">
        <w:rPr>
          <w:rFonts w:ascii="Calibri" w:hAnsi="Calibri"/>
          <w:bCs/>
          <w:color w:val="000000"/>
        </w:rPr>
        <w:t xml:space="preserve">benzer bir durum imam hatip </w:t>
      </w:r>
      <w:r>
        <w:rPr>
          <w:rFonts w:ascii="Calibri" w:hAnsi="Calibri"/>
          <w:bCs/>
          <w:color w:val="000000"/>
        </w:rPr>
        <w:t>okulları</w:t>
      </w:r>
      <w:r w:rsidRPr="00AC02CA">
        <w:rPr>
          <w:rFonts w:ascii="Calibri" w:hAnsi="Calibri"/>
          <w:bCs/>
          <w:color w:val="000000"/>
        </w:rPr>
        <w:t xml:space="preserve"> için de geçerlidir. </w:t>
      </w:r>
      <w:r w:rsidRPr="00AC02CA">
        <w:rPr>
          <w:rFonts w:ascii="Calibri" w:hAnsi="Calibri"/>
        </w:rPr>
        <w:t>Fiziki altyapı sorunları en az olan, teknik olarak en donanımlı okullar imam hatibe dönüştürülmüş</w:t>
      </w:r>
      <w:r>
        <w:rPr>
          <w:rFonts w:ascii="Calibri" w:hAnsi="Calibri"/>
        </w:rPr>
        <w:t>tür. Y</w:t>
      </w:r>
      <w:r w:rsidRPr="00AC02CA">
        <w:rPr>
          <w:rFonts w:ascii="Calibri" w:hAnsi="Calibri"/>
          <w:bCs/>
          <w:color w:val="000000"/>
        </w:rPr>
        <w:t xml:space="preserve">ıllardır çok sayıda devlet okulu ödenek yetersizliği nedeniyle </w:t>
      </w:r>
      <w:r>
        <w:rPr>
          <w:rFonts w:ascii="Calibri" w:hAnsi="Calibri"/>
          <w:bCs/>
          <w:color w:val="000000"/>
        </w:rPr>
        <w:t xml:space="preserve">birçok </w:t>
      </w:r>
      <w:r w:rsidRPr="00AC02CA">
        <w:rPr>
          <w:rFonts w:ascii="Calibri" w:hAnsi="Calibri"/>
          <w:bCs/>
          <w:color w:val="000000"/>
        </w:rPr>
        <w:t xml:space="preserve">sorunla baş başa bırakılırken, imam hatip okullarının ödenek talepleri anında yerine getirilmiştir. </w:t>
      </w:r>
    </w:p>
    <w:p w:rsidR="0075173E" w:rsidRDefault="006D2CC2" w:rsidP="0075173E">
      <w:pPr>
        <w:pStyle w:val="NormalWeb"/>
        <w:spacing w:before="0" w:beforeAutospacing="0" w:after="0" w:afterAutospacing="0"/>
        <w:ind w:firstLine="357"/>
        <w:jc w:val="both"/>
        <w:rPr>
          <w:rFonts w:ascii="Calibri" w:hAnsi="Calibri"/>
          <w:color w:val="000000"/>
          <w:shd w:val="clear" w:color="auto" w:fill="FFFFFF"/>
        </w:rPr>
      </w:pPr>
      <w:r w:rsidRPr="00AC02CA">
        <w:rPr>
          <w:rFonts w:ascii="Calibri" w:hAnsi="Calibri"/>
          <w:bCs/>
          <w:color w:val="000000"/>
        </w:rPr>
        <w:t xml:space="preserve">Bugüne kadar özel okullar ve imam hatip okulları konusunda eğitimle ilgili hemen her konuda ayrımcılık yapmayı kendisine görev edinmiş olan </w:t>
      </w:r>
      <w:r>
        <w:rPr>
          <w:rFonts w:ascii="Calibri" w:hAnsi="Calibri"/>
          <w:bCs/>
          <w:color w:val="000000"/>
        </w:rPr>
        <w:t>MEB</w:t>
      </w:r>
      <w:r w:rsidRPr="00AC02CA">
        <w:rPr>
          <w:rFonts w:ascii="Calibri" w:hAnsi="Calibri"/>
          <w:bCs/>
          <w:color w:val="000000"/>
        </w:rPr>
        <w:t xml:space="preserve">, bu konuda da ayrımcı uygulamalarını sürdürmüştür. </w:t>
      </w:r>
      <w:r w:rsidRPr="00AC02CA">
        <w:rPr>
          <w:rFonts w:ascii="Calibri" w:hAnsi="Calibri"/>
          <w:color w:val="000000"/>
          <w:shd w:val="clear" w:color="auto" w:fill="FFFFFF"/>
        </w:rPr>
        <w:t xml:space="preserve">Türkiye’de hiçbir okul türü diğerlerine göre ayrıcalıklı olmamalı, MEB politika geliştirirken ve bu politikaları uygularken bütün eğitim kurumlarına eşit mesafede yaklaşmalıdır. </w:t>
      </w:r>
    </w:p>
    <w:p w:rsidR="006D2CC2" w:rsidRPr="0075173E" w:rsidRDefault="006D2CC2" w:rsidP="0075173E">
      <w:pPr>
        <w:pStyle w:val="NormalWeb"/>
        <w:spacing w:before="0" w:beforeAutospacing="0" w:after="0" w:afterAutospacing="0"/>
        <w:ind w:firstLine="357"/>
        <w:jc w:val="both"/>
        <w:rPr>
          <w:rFonts w:ascii="Calibri" w:hAnsi="Calibri"/>
          <w:color w:val="000000"/>
          <w:shd w:val="clear" w:color="auto" w:fill="FFFFFF"/>
        </w:rPr>
      </w:pPr>
      <w:bookmarkStart w:id="0" w:name="_GoBack"/>
      <w:bookmarkEnd w:id="0"/>
      <w:r>
        <w:rPr>
          <w:rFonts w:ascii="Calibri" w:hAnsi="Calibri"/>
          <w:b/>
          <w:color w:val="000000" w:themeColor="text1"/>
        </w:rPr>
        <w:lastRenderedPageBreak/>
        <w:t xml:space="preserve">MEB BÜTÇESİ VE </w:t>
      </w:r>
      <w:r w:rsidRPr="00164371">
        <w:rPr>
          <w:rFonts w:ascii="Calibri" w:hAnsi="Calibri"/>
          <w:b/>
          <w:color w:val="000000" w:themeColor="text1"/>
        </w:rPr>
        <w:t>EĞİTİM YATIRIMLARI</w:t>
      </w:r>
      <w:r>
        <w:rPr>
          <w:rFonts w:ascii="Calibri" w:hAnsi="Calibri"/>
          <w:b/>
          <w:color w:val="000000" w:themeColor="text1"/>
        </w:rPr>
        <w:t>NIN DURUMU</w:t>
      </w:r>
      <w:r w:rsidR="00D95744">
        <w:rPr>
          <w:rFonts w:ascii="Calibri" w:hAnsi="Calibri"/>
          <w:b/>
          <w:color w:val="000000" w:themeColor="text1"/>
        </w:rPr>
        <w:t xml:space="preserve"> İÇLER ACISI</w:t>
      </w:r>
    </w:p>
    <w:p w:rsidR="006D2CC2" w:rsidRPr="00D20E0E" w:rsidRDefault="006D2CC2" w:rsidP="006D2CC2">
      <w:pPr>
        <w:tabs>
          <w:tab w:val="left" w:pos="0"/>
        </w:tabs>
        <w:ind w:firstLine="360"/>
        <w:rPr>
          <w:rFonts w:ascii="Calibri" w:hAnsi="Calibri"/>
          <w:sz w:val="18"/>
          <w:szCs w:val="16"/>
        </w:rPr>
      </w:pPr>
    </w:p>
    <w:p w:rsidR="006D2CC2" w:rsidRDefault="006D2CC2" w:rsidP="006D2CC2">
      <w:pPr>
        <w:ind w:firstLine="426"/>
        <w:rPr>
          <w:rFonts w:ascii="Calibri" w:hAnsi="Calibri"/>
          <w:sz w:val="24"/>
          <w:szCs w:val="24"/>
        </w:rPr>
      </w:pPr>
      <w:r w:rsidRPr="00164371">
        <w:rPr>
          <w:rFonts w:ascii="Calibri" w:hAnsi="Calibri"/>
          <w:color w:val="000000"/>
          <w:sz w:val="24"/>
          <w:szCs w:val="24"/>
        </w:rPr>
        <w:t xml:space="preserve">MEB </w:t>
      </w:r>
      <w:r w:rsidRPr="00164371">
        <w:rPr>
          <w:rFonts w:ascii="Calibri" w:hAnsi="Calibri"/>
          <w:sz w:val="24"/>
          <w:szCs w:val="24"/>
        </w:rPr>
        <w:t>bütçe</w:t>
      </w:r>
      <w:r>
        <w:rPr>
          <w:rFonts w:ascii="Calibri" w:hAnsi="Calibri"/>
          <w:sz w:val="24"/>
          <w:szCs w:val="24"/>
        </w:rPr>
        <w:t>leri</w:t>
      </w:r>
      <w:r w:rsidRPr="00164371">
        <w:rPr>
          <w:rFonts w:ascii="Calibri" w:hAnsi="Calibri"/>
          <w:sz w:val="24"/>
          <w:szCs w:val="24"/>
        </w:rPr>
        <w:t>,</w:t>
      </w:r>
      <w:r>
        <w:rPr>
          <w:rFonts w:ascii="Calibri" w:hAnsi="Calibri"/>
          <w:sz w:val="24"/>
          <w:szCs w:val="24"/>
        </w:rPr>
        <w:t xml:space="preserve"> her yıl </w:t>
      </w:r>
      <w:r w:rsidRPr="00164371">
        <w:rPr>
          <w:rFonts w:ascii="Calibri" w:hAnsi="Calibri"/>
          <w:sz w:val="24"/>
          <w:szCs w:val="24"/>
        </w:rPr>
        <w:t>eğitim sisteminin, öğrencilerin ve eğitim emekçilerinin ciddi sorunlar yaşadığı en temel ihtiyaçlar görmezden gel</w:t>
      </w:r>
      <w:r>
        <w:rPr>
          <w:rFonts w:ascii="Calibri" w:hAnsi="Calibri"/>
          <w:sz w:val="24"/>
          <w:szCs w:val="24"/>
        </w:rPr>
        <w:t>in</w:t>
      </w:r>
      <w:r w:rsidR="003447C4">
        <w:rPr>
          <w:rFonts w:ascii="Calibri" w:hAnsi="Calibri"/>
          <w:sz w:val="24"/>
          <w:szCs w:val="24"/>
        </w:rPr>
        <w:t xml:space="preserve">erek, </w:t>
      </w:r>
      <w:r w:rsidRPr="00164371">
        <w:rPr>
          <w:rFonts w:ascii="Calibri" w:hAnsi="Calibri"/>
          <w:sz w:val="24"/>
          <w:szCs w:val="24"/>
        </w:rPr>
        <w:t>sadece zorunlu harcamalar dikkate alınarak hazırlanm</w:t>
      </w:r>
      <w:r>
        <w:rPr>
          <w:rFonts w:ascii="Calibri" w:hAnsi="Calibri"/>
          <w:sz w:val="24"/>
          <w:szCs w:val="24"/>
        </w:rPr>
        <w:t xml:space="preserve">aktadır. </w:t>
      </w:r>
      <w:r w:rsidRPr="00164371">
        <w:rPr>
          <w:rFonts w:ascii="Calibri" w:hAnsi="Calibri"/>
          <w:sz w:val="24"/>
          <w:szCs w:val="24"/>
        </w:rPr>
        <w:t>Yıllardır eğitime ayrılan kaynaklar sadece rakamsal olarak artmakta, doğrudan eğitim hizmetlerine yönelik yatırımlar açısından bütçelerde gerçek anlamda bir artışın yapılmadığı görülmektedir.</w:t>
      </w:r>
      <w:r>
        <w:rPr>
          <w:rFonts w:ascii="Calibri" w:hAnsi="Calibri"/>
          <w:sz w:val="24"/>
          <w:szCs w:val="24"/>
        </w:rPr>
        <w:t xml:space="preserve"> Özellikle </w:t>
      </w:r>
      <w:proofErr w:type="spellStart"/>
      <w:r>
        <w:rPr>
          <w:rFonts w:ascii="Calibri" w:hAnsi="Calibri"/>
          <w:sz w:val="24"/>
          <w:szCs w:val="24"/>
        </w:rPr>
        <w:t>pandemi</w:t>
      </w:r>
      <w:proofErr w:type="spellEnd"/>
      <w:r>
        <w:rPr>
          <w:rFonts w:ascii="Calibri" w:hAnsi="Calibri"/>
          <w:sz w:val="24"/>
          <w:szCs w:val="24"/>
        </w:rPr>
        <w:t xml:space="preserve"> döneminde yaşanan teknik </w:t>
      </w:r>
      <w:r w:rsidR="003447C4">
        <w:rPr>
          <w:rFonts w:ascii="Calibri" w:hAnsi="Calibri"/>
          <w:sz w:val="24"/>
          <w:szCs w:val="24"/>
        </w:rPr>
        <w:t xml:space="preserve">sorunlar </w:t>
      </w:r>
      <w:r>
        <w:rPr>
          <w:rFonts w:ascii="Calibri" w:hAnsi="Calibri"/>
          <w:sz w:val="24"/>
          <w:szCs w:val="24"/>
        </w:rPr>
        <w:t xml:space="preserve">ve altyapı sorunları nedeniyle eğitime ek bütçe taleplerimiz kabul görmemiştir. </w:t>
      </w:r>
    </w:p>
    <w:p w:rsidR="006D2CC2" w:rsidRDefault="006D2CC2" w:rsidP="006D2CC2">
      <w:pPr>
        <w:ind w:firstLine="426"/>
        <w:rPr>
          <w:rFonts w:ascii="Calibri" w:hAnsi="Calibri"/>
          <w:sz w:val="24"/>
          <w:szCs w:val="24"/>
        </w:rPr>
      </w:pPr>
    </w:p>
    <w:p w:rsidR="006D2CC2" w:rsidRDefault="006D2CC2" w:rsidP="006D2CC2">
      <w:pPr>
        <w:jc w:val="center"/>
        <w:rPr>
          <w:rFonts w:ascii="Calibri" w:hAnsi="Calibri"/>
          <w:sz w:val="24"/>
          <w:szCs w:val="24"/>
        </w:rPr>
      </w:pPr>
      <w:r w:rsidRPr="00EE3D35">
        <w:rPr>
          <w:rFonts w:ascii="Arial" w:hAnsi="Arial" w:cs="Arial"/>
          <w:noProof/>
          <w:color w:val="000000"/>
          <w:shd w:val="clear" w:color="auto" w:fill="FFFFFF"/>
          <w:lang w:eastAsia="tr-TR"/>
        </w:rPr>
        <w:drawing>
          <wp:inline distT="0" distB="0" distL="0" distR="0" wp14:anchorId="2B9F7134" wp14:editId="1EC69F00">
            <wp:extent cx="5838825" cy="2600325"/>
            <wp:effectExtent l="0" t="0" r="9525" b="9525"/>
            <wp:docPr id="13" name="Nesnesi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D2CC2" w:rsidRPr="004C65D4" w:rsidRDefault="006D2CC2" w:rsidP="006D2CC2">
      <w:pPr>
        <w:ind w:firstLine="360"/>
        <w:rPr>
          <w:rFonts w:ascii="Calibri" w:hAnsi="Calibri"/>
          <w:bCs/>
          <w:sz w:val="14"/>
          <w:szCs w:val="24"/>
        </w:rPr>
      </w:pPr>
    </w:p>
    <w:p w:rsidR="006D2CC2" w:rsidRDefault="006D2CC2" w:rsidP="006D2CC2">
      <w:pPr>
        <w:ind w:firstLine="360"/>
        <w:rPr>
          <w:rFonts w:ascii="Calibri" w:hAnsi="Calibri"/>
          <w:sz w:val="24"/>
        </w:rPr>
      </w:pPr>
      <w:r w:rsidRPr="00164371">
        <w:rPr>
          <w:rFonts w:ascii="Calibri" w:hAnsi="Calibri"/>
          <w:bCs/>
          <w:sz w:val="24"/>
          <w:szCs w:val="24"/>
        </w:rPr>
        <w:t>1</w:t>
      </w:r>
      <w:r>
        <w:rPr>
          <w:rFonts w:ascii="Calibri" w:hAnsi="Calibri"/>
          <w:bCs/>
          <w:sz w:val="24"/>
          <w:szCs w:val="24"/>
        </w:rPr>
        <w:t>9</w:t>
      </w:r>
      <w:r w:rsidRPr="00164371">
        <w:rPr>
          <w:rFonts w:ascii="Calibri" w:hAnsi="Calibri"/>
          <w:bCs/>
          <w:sz w:val="24"/>
          <w:szCs w:val="24"/>
        </w:rPr>
        <w:t xml:space="preserve"> yıl içinde MEB bütçesinin milli gelire oranı çok az artmasına rağmen, belirlenen rakamlar ihtiyacın çok altında kalmış ve eğitim harcamalarının esas yükü, eğitimi adım adım ticarileştirme ve kamu kaynaklarının özel okullara aktarılmasının da etkisiyle büyük ölçüde velilerin sırtına yıkılmıştır.</w:t>
      </w:r>
    </w:p>
    <w:p w:rsidR="006D2CC2" w:rsidRPr="00164371" w:rsidRDefault="006D2CC2" w:rsidP="006D2CC2">
      <w:pPr>
        <w:ind w:firstLine="360"/>
        <w:rPr>
          <w:rFonts w:ascii="Calibri" w:hAnsi="Calibri"/>
          <w:bCs/>
          <w:sz w:val="24"/>
        </w:rPr>
      </w:pPr>
      <w:r w:rsidRPr="00164371">
        <w:rPr>
          <w:rFonts w:ascii="Calibri" w:hAnsi="Calibri"/>
          <w:sz w:val="24"/>
        </w:rPr>
        <w:t xml:space="preserve">2002-2021 yılları itibarıyla MEB bütçesinden eğitim yatırımlarına ayrılan payın gelişim seyri, her fırsatta “Bütçeden en çok payı eğitime ayırdık” diyenlerin halkı nasıl kandırdıklarının, eğitime ayrılan bütçenin ne kadarının yatırıma ayrıldığını gizlemeye çalışarak gerçekleri nasıl çarpıttıklarını açıkça göstermektedir. </w:t>
      </w:r>
    </w:p>
    <w:p w:rsidR="006D2CC2" w:rsidRPr="003A0884" w:rsidRDefault="006D2CC2" w:rsidP="006D2CC2">
      <w:pPr>
        <w:tabs>
          <w:tab w:val="left" w:pos="0"/>
        </w:tabs>
        <w:ind w:firstLine="360"/>
        <w:rPr>
          <w:rFonts w:ascii="Calibri" w:hAnsi="Calibri"/>
          <w:sz w:val="16"/>
          <w:szCs w:val="16"/>
        </w:rPr>
      </w:pPr>
    </w:p>
    <w:p w:rsidR="006D2CC2" w:rsidRDefault="006D2CC2" w:rsidP="006D2CC2">
      <w:pPr>
        <w:tabs>
          <w:tab w:val="left" w:pos="0"/>
        </w:tabs>
        <w:jc w:val="center"/>
        <w:rPr>
          <w:rFonts w:ascii="Calibri" w:hAnsi="Calibri"/>
        </w:rPr>
      </w:pPr>
      <w:r w:rsidRPr="00026CFF">
        <w:rPr>
          <w:rFonts w:ascii="Arial" w:hAnsi="Arial" w:cs="Arial"/>
          <w:noProof/>
          <w:color w:val="000000"/>
          <w:shd w:val="clear" w:color="auto" w:fill="FFFFFF"/>
          <w:lang w:eastAsia="tr-TR"/>
        </w:rPr>
        <w:drawing>
          <wp:inline distT="0" distB="0" distL="0" distR="0" wp14:anchorId="44CE84F0" wp14:editId="41CEBF08">
            <wp:extent cx="5471160" cy="2419350"/>
            <wp:effectExtent l="0" t="0" r="15240" b="0"/>
            <wp:docPr id="31" name="Nesnesi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2CC2" w:rsidRPr="004C65D4" w:rsidRDefault="006D2CC2" w:rsidP="006D2CC2">
      <w:pPr>
        <w:ind w:firstLine="360"/>
        <w:rPr>
          <w:rFonts w:ascii="Calibri" w:hAnsi="Calibri"/>
          <w:bCs/>
          <w:sz w:val="10"/>
        </w:rPr>
      </w:pPr>
    </w:p>
    <w:p w:rsidR="006D2CC2" w:rsidRDefault="006D2CC2" w:rsidP="006D2CC2">
      <w:pPr>
        <w:ind w:firstLine="360"/>
        <w:rPr>
          <w:rFonts w:ascii="Calibri" w:hAnsi="Calibri"/>
          <w:bCs/>
        </w:rPr>
      </w:pPr>
      <w:r w:rsidRPr="00164371">
        <w:rPr>
          <w:rFonts w:ascii="Calibri" w:hAnsi="Calibri"/>
          <w:bCs/>
          <w:sz w:val="24"/>
        </w:rPr>
        <w:t xml:space="preserve">MEB bütçesinden eğitim yatırımlarına ayrılan pay 2002 yılında yüzde 17,18 iken, eğitim hizmetlerinin sunumu açısından çok önemli olan bu rakam 2009’da yüzde 4,57’ye kadar gerilemiştir. </w:t>
      </w:r>
      <w:r w:rsidRPr="00164371">
        <w:rPr>
          <w:rFonts w:ascii="Calibri" w:hAnsi="Calibri" w:cs="Calibri"/>
          <w:sz w:val="24"/>
        </w:rPr>
        <w:t>MEB bütçesinden eğitim yatırımlarına ayrılan pay geçen yıla (yüzde 4,65) göre artmış (yüzde 7,69) gibi görünse de, 1</w:t>
      </w:r>
      <w:r w:rsidR="00D95744">
        <w:rPr>
          <w:rFonts w:ascii="Calibri" w:hAnsi="Calibri" w:cs="Calibri"/>
          <w:sz w:val="24"/>
        </w:rPr>
        <w:t>9</w:t>
      </w:r>
      <w:r w:rsidRPr="00164371">
        <w:rPr>
          <w:rFonts w:ascii="Calibri" w:hAnsi="Calibri" w:cs="Calibri"/>
          <w:sz w:val="24"/>
        </w:rPr>
        <w:t xml:space="preserve"> yıl önceki oranının çok gerisindedir.</w:t>
      </w:r>
      <w:r>
        <w:rPr>
          <w:rFonts w:ascii="Calibri" w:hAnsi="Calibri" w:cs="Calibri"/>
          <w:sz w:val="24"/>
        </w:rPr>
        <w:t xml:space="preserve"> </w:t>
      </w:r>
      <w:r w:rsidRPr="00164371">
        <w:rPr>
          <w:rFonts w:ascii="Calibri" w:hAnsi="Calibri"/>
          <w:bCs/>
          <w:sz w:val="24"/>
        </w:rPr>
        <w:t xml:space="preserve">Bugüne kadar hazırlanan MEB bütçelerinin </w:t>
      </w:r>
      <w:r w:rsidRPr="00164371">
        <w:rPr>
          <w:rFonts w:ascii="Calibri" w:hAnsi="Calibri"/>
          <w:bCs/>
          <w:sz w:val="24"/>
        </w:rPr>
        <w:lastRenderedPageBreak/>
        <w:t xml:space="preserve">bizlere gösterdiği en açık gerçek, eğitimde yaşanan yoğun ticarileşme sürecinin, artarak devam edeceği, velilerin cebinden yapacağı eğitim harcamalarının belirgin bir şekilde artacağıdır.  </w:t>
      </w:r>
    </w:p>
    <w:p w:rsidR="006D2CC2" w:rsidRPr="00A6017A" w:rsidRDefault="006D2CC2" w:rsidP="006D2CC2">
      <w:pPr>
        <w:pStyle w:val="GvdeMetni"/>
        <w:spacing w:after="0"/>
        <w:ind w:firstLine="357"/>
        <w:rPr>
          <w:rFonts w:ascii="Calibri" w:hAnsi="Calibri"/>
          <w:sz w:val="24"/>
          <w:szCs w:val="24"/>
        </w:rPr>
      </w:pPr>
      <w:r w:rsidRPr="00A6017A">
        <w:rPr>
          <w:rFonts w:ascii="Calibri" w:hAnsi="Calibri"/>
          <w:sz w:val="24"/>
          <w:szCs w:val="24"/>
        </w:rPr>
        <w:t xml:space="preserve">Eğitim, devredilemez </w:t>
      </w:r>
      <w:r>
        <w:rPr>
          <w:rFonts w:ascii="Calibri" w:hAnsi="Calibri"/>
          <w:sz w:val="24"/>
          <w:szCs w:val="24"/>
        </w:rPr>
        <w:t xml:space="preserve">ve vazgeçilemez </w:t>
      </w:r>
      <w:r w:rsidRPr="00A6017A">
        <w:rPr>
          <w:rFonts w:ascii="Calibri" w:hAnsi="Calibri"/>
          <w:sz w:val="24"/>
          <w:szCs w:val="24"/>
        </w:rPr>
        <w:t xml:space="preserve">kamusal bir haktır. Bu alanda yapılan çeşitli araştırmaların da gösterdiği gibi, devlet okullarında paralı eğitim uygulamaları yaygınlaştıkça, en düşük gelir </w:t>
      </w:r>
      <w:r>
        <w:rPr>
          <w:rFonts w:ascii="Calibri" w:hAnsi="Calibri"/>
          <w:sz w:val="24"/>
          <w:szCs w:val="24"/>
        </w:rPr>
        <w:t xml:space="preserve">grubunda bulunanların </w:t>
      </w:r>
      <w:r w:rsidRPr="00A6017A">
        <w:rPr>
          <w:rFonts w:ascii="Calibri" w:hAnsi="Calibri"/>
          <w:sz w:val="24"/>
          <w:szCs w:val="24"/>
        </w:rPr>
        <w:t>gelirleri içinde eğitim harcamalarına ayırmak zorunda oldukları pay artmaktadır. Bu koşullarda devlet okullarında eşitsizlikleri d</w:t>
      </w:r>
      <w:r w:rsidR="0054230B">
        <w:rPr>
          <w:rFonts w:ascii="Calibri" w:hAnsi="Calibri"/>
          <w:sz w:val="24"/>
          <w:szCs w:val="24"/>
        </w:rPr>
        <w:t xml:space="preserve">erinleştiren örnekler, </w:t>
      </w:r>
      <w:r w:rsidRPr="00A6017A">
        <w:rPr>
          <w:rFonts w:ascii="Calibri" w:hAnsi="Calibri"/>
          <w:sz w:val="24"/>
          <w:szCs w:val="24"/>
        </w:rPr>
        <w:t xml:space="preserve">toplumsal eşitsizlikler doğrultusunda okulları </w:t>
      </w:r>
      <w:r>
        <w:rPr>
          <w:rFonts w:ascii="Calibri" w:hAnsi="Calibri"/>
          <w:sz w:val="24"/>
          <w:szCs w:val="24"/>
        </w:rPr>
        <w:t>ayrıştırmaya neden olmakta</w:t>
      </w:r>
      <w:r w:rsidR="0054230B">
        <w:rPr>
          <w:rFonts w:ascii="Calibri" w:hAnsi="Calibri"/>
          <w:sz w:val="24"/>
          <w:szCs w:val="24"/>
        </w:rPr>
        <w:t>,</w:t>
      </w:r>
      <w:r>
        <w:rPr>
          <w:rFonts w:ascii="Calibri" w:hAnsi="Calibri"/>
          <w:sz w:val="24"/>
          <w:szCs w:val="24"/>
        </w:rPr>
        <w:t xml:space="preserve"> </w:t>
      </w:r>
      <w:r w:rsidRPr="00A6017A">
        <w:rPr>
          <w:rFonts w:ascii="Calibri" w:hAnsi="Calibri"/>
          <w:sz w:val="24"/>
          <w:szCs w:val="24"/>
        </w:rPr>
        <w:t xml:space="preserve">zenginle yoksula ayrı ayrı </w:t>
      </w:r>
      <w:r>
        <w:rPr>
          <w:rFonts w:ascii="Calibri" w:hAnsi="Calibri"/>
          <w:sz w:val="24"/>
          <w:szCs w:val="24"/>
        </w:rPr>
        <w:t>‘</w:t>
      </w:r>
      <w:r w:rsidRPr="00A6017A">
        <w:rPr>
          <w:rFonts w:ascii="Calibri" w:hAnsi="Calibri"/>
          <w:sz w:val="24"/>
          <w:szCs w:val="24"/>
        </w:rPr>
        <w:t>devlet okulu</w:t>
      </w:r>
      <w:r>
        <w:rPr>
          <w:rFonts w:ascii="Calibri" w:hAnsi="Calibri"/>
          <w:sz w:val="24"/>
          <w:szCs w:val="24"/>
        </w:rPr>
        <w:t>’</w:t>
      </w:r>
      <w:r w:rsidRPr="00A6017A">
        <w:rPr>
          <w:rFonts w:ascii="Calibri" w:hAnsi="Calibri"/>
          <w:sz w:val="24"/>
          <w:szCs w:val="24"/>
        </w:rPr>
        <w:t xml:space="preserve">, hatta aynı devlet okulu içinde </w:t>
      </w:r>
      <w:r>
        <w:rPr>
          <w:rFonts w:ascii="Calibri" w:hAnsi="Calibri"/>
          <w:sz w:val="24"/>
          <w:szCs w:val="24"/>
        </w:rPr>
        <w:t xml:space="preserve">gelir durumuna ya da </w:t>
      </w:r>
      <w:r w:rsidRPr="00A6017A">
        <w:rPr>
          <w:rFonts w:ascii="Calibri" w:hAnsi="Calibri"/>
          <w:sz w:val="24"/>
          <w:szCs w:val="24"/>
        </w:rPr>
        <w:t>başarı düzeyine göre farklı sınıflar oluşturmanın önü</w:t>
      </w:r>
      <w:r w:rsidR="00076C08">
        <w:rPr>
          <w:rFonts w:ascii="Calibri" w:hAnsi="Calibri"/>
          <w:sz w:val="24"/>
          <w:szCs w:val="24"/>
        </w:rPr>
        <w:t>nü</w:t>
      </w:r>
      <w:r>
        <w:rPr>
          <w:rFonts w:ascii="Calibri" w:hAnsi="Calibri"/>
          <w:sz w:val="24"/>
          <w:szCs w:val="24"/>
        </w:rPr>
        <w:t xml:space="preserve"> </w:t>
      </w:r>
      <w:r w:rsidRPr="00A6017A">
        <w:rPr>
          <w:rFonts w:ascii="Calibri" w:hAnsi="Calibri"/>
          <w:sz w:val="24"/>
          <w:szCs w:val="24"/>
        </w:rPr>
        <w:t xml:space="preserve">açmaktadır. </w:t>
      </w:r>
    </w:p>
    <w:p w:rsidR="006D2CC2" w:rsidRDefault="006D2CC2" w:rsidP="006D2CC2">
      <w:pPr>
        <w:pStyle w:val="GvdeMetni"/>
        <w:spacing w:after="0"/>
        <w:ind w:firstLine="357"/>
        <w:rPr>
          <w:rFonts w:ascii="Calibri" w:hAnsi="Calibri"/>
          <w:sz w:val="24"/>
        </w:rPr>
      </w:pPr>
      <w:r w:rsidRPr="00A6017A">
        <w:rPr>
          <w:rFonts w:ascii="Calibri" w:hAnsi="Calibri"/>
          <w:sz w:val="24"/>
          <w:szCs w:val="24"/>
        </w:rPr>
        <w:t xml:space="preserve">Piyasacı eğitim sistemi, yaşamın her düzeyinde rekabeti, hizmetin bedelini ödemeyi, öğrenci ve velilerin </w:t>
      </w:r>
      <w:r>
        <w:rPr>
          <w:rFonts w:ascii="Calibri" w:hAnsi="Calibri"/>
          <w:sz w:val="24"/>
          <w:szCs w:val="24"/>
        </w:rPr>
        <w:t>‘</w:t>
      </w:r>
      <w:r w:rsidRPr="00A6017A">
        <w:rPr>
          <w:rFonts w:ascii="Calibri" w:hAnsi="Calibri"/>
          <w:sz w:val="24"/>
          <w:szCs w:val="24"/>
        </w:rPr>
        <w:t>müşteri</w:t>
      </w:r>
      <w:r>
        <w:rPr>
          <w:rFonts w:ascii="Calibri" w:hAnsi="Calibri"/>
          <w:sz w:val="24"/>
          <w:szCs w:val="24"/>
        </w:rPr>
        <w:t>’</w:t>
      </w:r>
      <w:r w:rsidRPr="00A6017A">
        <w:rPr>
          <w:rFonts w:ascii="Calibri" w:hAnsi="Calibri"/>
          <w:sz w:val="24"/>
          <w:szCs w:val="24"/>
        </w:rPr>
        <w:t xml:space="preserve"> haline getirilmesini hedefle</w:t>
      </w:r>
      <w:r>
        <w:rPr>
          <w:rFonts w:ascii="Calibri" w:hAnsi="Calibri"/>
          <w:sz w:val="24"/>
          <w:szCs w:val="24"/>
        </w:rPr>
        <w:t xml:space="preserve">mekte, </w:t>
      </w:r>
      <w:r w:rsidR="00076C08">
        <w:rPr>
          <w:rFonts w:ascii="Calibri" w:hAnsi="Calibri"/>
          <w:sz w:val="24"/>
          <w:szCs w:val="24"/>
        </w:rPr>
        <w:t>toplumdaki sınıf farklılıkları</w:t>
      </w:r>
      <w:r>
        <w:rPr>
          <w:rFonts w:ascii="Calibri" w:hAnsi="Calibri"/>
          <w:sz w:val="24"/>
          <w:szCs w:val="24"/>
        </w:rPr>
        <w:t xml:space="preserve"> </w:t>
      </w:r>
      <w:r w:rsidRPr="00A6017A">
        <w:rPr>
          <w:rFonts w:ascii="Calibri" w:hAnsi="Calibri"/>
          <w:sz w:val="24"/>
          <w:szCs w:val="24"/>
        </w:rPr>
        <w:t xml:space="preserve">daha da </w:t>
      </w:r>
      <w:r>
        <w:rPr>
          <w:rFonts w:ascii="Calibri" w:hAnsi="Calibri"/>
          <w:sz w:val="24"/>
          <w:szCs w:val="24"/>
        </w:rPr>
        <w:t xml:space="preserve">belirgin hale getirmektedir. </w:t>
      </w:r>
      <w:r w:rsidRPr="00A6017A">
        <w:rPr>
          <w:rFonts w:ascii="Calibri" w:hAnsi="Calibri"/>
          <w:sz w:val="24"/>
          <w:szCs w:val="24"/>
        </w:rPr>
        <w:t>Aynı okul içinde sınıflar, aynı bölgede okullar, farklı bölgeler, birbirleriyle rekabet içine sokularak eğitim hizmetleri piyasa kurallarına göre düzenlenmekte</w:t>
      </w:r>
      <w:r>
        <w:rPr>
          <w:rFonts w:ascii="Calibri" w:hAnsi="Calibri"/>
          <w:sz w:val="24"/>
          <w:szCs w:val="24"/>
        </w:rPr>
        <w:t xml:space="preserve">dir. </w:t>
      </w:r>
      <w:r w:rsidRPr="00164371">
        <w:rPr>
          <w:rFonts w:ascii="Calibri" w:hAnsi="Calibri"/>
          <w:sz w:val="24"/>
        </w:rPr>
        <w:t xml:space="preserve">Yapılması gereken, kamusal kaynakların yine kamusal bir hak olan eğitim için, özel çıkarlar değil, toplumsal </w:t>
      </w:r>
      <w:r>
        <w:rPr>
          <w:rFonts w:ascii="Calibri" w:hAnsi="Calibri"/>
          <w:sz w:val="24"/>
        </w:rPr>
        <w:t>yarar ilkesi</w:t>
      </w:r>
      <w:r w:rsidRPr="00164371">
        <w:rPr>
          <w:rFonts w:ascii="Calibri" w:hAnsi="Calibri"/>
          <w:sz w:val="24"/>
        </w:rPr>
        <w:t xml:space="preserve"> gözetilerek </w:t>
      </w:r>
      <w:r>
        <w:rPr>
          <w:rFonts w:ascii="Calibri" w:hAnsi="Calibri"/>
          <w:sz w:val="24"/>
        </w:rPr>
        <w:t xml:space="preserve">planlanması ve </w:t>
      </w:r>
      <w:r w:rsidRPr="00164371">
        <w:rPr>
          <w:rFonts w:ascii="Calibri" w:hAnsi="Calibri"/>
          <w:sz w:val="24"/>
        </w:rPr>
        <w:t>değerlendirilmesidir.</w:t>
      </w:r>
    </w:p>
    <w:p w:rsidR="008F62EC" w:rsidRDefault="008F62EC" w:rsidP="008F62EC">
      <w:pPr>
        <w:rPr>
          <w:sz w:val="24"/>
          <w:szCs w:val="24"/>
        </w:rPr>
      </w:pPr>
    </w:p>
    <w:p w:rsidR="00D20E0E" w:rsidRPr="00A37E20" w:rsidRDefault="00B41A63" w:rsidP="00D20E0E">
      <w:pPr>
        <w:rPr>
          <w:rFonts w:cstheme="minorHAnsi"/>
          <w:b/>
          <w:color w:val="000000" w:themeColor="text1"/>
          <w:sz w:val="24"/>
          <w:szCs w:val="21"/>
          <w:shd w:val="clear" w:color="auto" w:fill="FFFFFF"/>
        </w:rPr>
      </w:pPr>
      <w:r>
        <w:rPr>
          <w:rFonts w:cstheme="minorHAnsi"/>
          <w:b/>
          <w:color w:val="000000" w:themeColor="text1"/>
          <w:sz w:val="24"/>
          <w:szCs w:val="21"/>
          <w:shd w:val="clear" w:color="auto" w:fill="FFFFFF"/>
        </w:rPr>
        <w:t xml:space="preserve">GÜVENCESİZ İSTİHDAM, </w:t>
      </w:r>
      <w:r w:rsidR="00D20E0E" w:rsidRPr="00A37E20">
        <w:rPr>
          <w:rFonts w:cstheme="minorHAnsi"/>
          <w:b/>
          <w:color w:val="000000" w:themeColor="text1"/>
          <w:sz w:val="24"/>
          <w:szCs w:val="21"/>
          <w:shd w:val="clear" w:color="auto" w:fill="FFFFFF"/>
        </w:rPr>
        <w:t xml:space="preserve">ESNEK </w:t>
      </w:r>
      <w:r w:rsidR="00D20E0E">
        <w:rPr>
          <w:rFonts w:cstheme="minorHAnsi"/>
          <w:b/>
          <w:color w:val="000000" w:themeColor="text1"/>
          <w:sz w:val="24"/>
          <w:szCs w:val="21"/>
          <w:shd w:val="clear" w:color="auto" w:fill="FFFFFF"/>
        </w:rPr>
        <w:t xml:space="preserve">ÇALIŞMA </w:t>
      </w:r>
      <w:r w:rsidR="00D20E0E" w:rsidRPr="00A37E20">
        <w:rPr>
          <w:rFonts w:cstheme="minorHAnsi"/>
          <w:b/>
          <w:color w:val="000000" w:themeColor="text1"/>
          <w:sz w:val="24"/>
          <w:szCs w:val="21"/>
          <w:shd w:val="clear" w:color="auto" w:fill="FFFFFF"/>
        </w:rPr>
        <w:t xml:space="preserve">VE ANGARYA UYGULAMALARI </w:t>
      </w:r>
    </w:p>
    <w:p w:rsidR="00D20E0E" w:rsidRDefault="00D20E0E" w:rsidP="00D20E0E">
      <w:pPr>
        <w:ind w:firstLine="426"/>
        <w:rPr>
          <w:sz w:val="24"/>
        </w:rPr>
      </w:pPr>
    </w:p>
    <w:p w:rsidR="00D20E0E" w:rsidRDefault="00D20E0E" w:rsidP="00D20E0E">
      <w:pPr>
        <w:pStyle w:val="NormalWeb"/>
        <w:shd w:val="clear" w:color="auto" w:fill="FFFFFF"/>
        <w:spacing w:before="0" w:beforeAutospacing="0" w:after="0" w:afterAutospacing="0"/>
        <w:ind w:firstLine="426"/>
        <w:jc w:val="both"/>
        <w:rPr>
          <w:rFonts w:asciiTheme="minorHAnsi" w:hAnsiTheme="minorHAnsi" w:cstheme="minorHAnsi"/>
          <w:color w:val="000000" w:themeColor="text1"/>
          <w:szCs w:val="21"/>
        </w:rPr>
      </w:pPr>
      <w:r>
        <w:rPr>
          <w:rFonts w:asciiTheme="minorHAnsi" w:hAnsiTheme="minorHAnsi" w:cstheme="minorHAnsi"/>
          <w:color w:val="000000" w:themeColor="text1"/>
          <w:szCs w:val="21"/>
        </w:rPr>
        <w:t>Türkiye’de u</w:t>
      </w:r>
      <w:r w:rsidRPr="00563596">
        <w:rPr>
          <w:rFonts w:asciiTheme="minorHAnsi" w:hAnsiTheme="minorHAnsi" w:cstheme="minorHAnsi"/>
          <w:color w:val="000000" w:themeColor="text1"/>
          <w:szCs w:val="21"/>
        </w:rPr>
        <w:t xml:space="preserve">zaktan eğitim süreci, </w:t>
      </w:r>
      <w:r w:rsidR="00D95744">
        <w:rPr>
          <w:rFonts w:asciiTheme="minorHAnsi" w:hAnsiTheme="minorHAnsi" w:cstheme="minorHAnsi"/>
          <w:color w:val="000000" w:themeColor="text1"/>
          <w:szCs w:val="21"/>
        </w:rPr>
        <w:t xml:space="preserve">eğitimde esnek ve güvencesiz çalışma uygulamalarının yaygınlaştırılması için </w:t>
      </w:r>
      <w:r w:rsidR="00BD3FD6">
        <w:rPr>
          <w:rFonts w:asciiTheme="minorHAnsi" w:hAnsiTheme="minorHAnsi" w:cstheme="minorHAnsi"/>
          <w:color w:val="000000" w:themeColor="text1"/>
          <w:szCs w:val="21"/>
        </w:rPr>
        <w:t xml:space="preserve">bir </w:t>
      </w:r>
      <w:r w:rsidR="00D95744">
        <w:rPr>
          <w:rFonts w:asciiTheme="minorHAnsi" w:hAnsiTheme="minorHAnsi" w:cstheme="minorHAnsi"/>
          <w:color w:val="000000" w:themeColor="text1"/>
          <w:szCs w:val="21"/>
        </w:rPr>
        <w:t xml:space="preserve">fırsat olarak değerlendirilmiştir. </w:t>
      </w:r>
      <w:r w:rsidRPr="00563596">
        <w:rPr>
          <w:rFonts w:asciiTheme="minorHAnsi" w:hAnsiTheme="minorHAnsi" w:cstheme="minorHAnsi"/>
          <w:color w:val="000000" w:themeColor="text1"/>
          <w:szCs w:val="21"/>
        </w:rPr>
        <w:t>Yasalarla tanımlanmış sekiz saatlik çalışma süre</w:t>
      </w:r>
      <w:r>
        <w:rPr>
          <w:rFonts w:asciiTheme="minorHAnsi" w:hAnsiTheme="minorHAnsi" w:cstheme="minorHAnsi"/>
          <w:color w:val="000000" w:themeColor="text1"/>
          <w:szCs w:val="21"/>
        </w:rPr>
        <w:t>s</w:t>
      </w:r>
      <w:r w:rsidRPr="00563596">
        <w:rPr>
          <w:rFonts w:asciiTheme="minorHAnsi" w:hAnsiTheme="minorHAnsi" w:cstheme="minorHAnsi"/>
          <w:color w:val="000000" w:themeColor="text1"/>
          <w:szCs w:val="21"/>
        </w:rPr>
        <w:t>i öğrencileri ve velileri deste</w:t>
      </w:r>
      <w:r>
        <w:rPr>
          <w:rFonts w:asciiTheme="minorHAnsi" w:hAnsiTheme="minorHAnsi" w:cstheme="minorHAnsi"/>
          <w:color w:val="000000" w:themeColor="text1"/>
          <w:szCs w:val="21"/>
        </w:rPr>
        <w:t xml:space="preserve">klemek üzere daha uzun saatlere, akşam saatlerine ve hafta sonlarına kadar </w:t>
      </w:r>
      <w:r w:rsidRPr="00563596">
        <w:rPr>
          <w:rFonts w:asciiTheme="minorHAnsi" w:hAnsiTheme="minorHAnsi" w:cstheme="minorHAnsi"/>
          <w:color w:val="000000" w:themeColor="text1"/>
          <w:szCs w:val="21"/>
        </w:rPr>
        <w:t xml:space="preserve">uzamıştır. Okul çağında çocukları olan eğitim ve bilim emekçileri evde sessiz bir yer bulmak </w:t>
      </w:r>
      <w:r>
        <w:rPr>
          <w:rFonts w:asciiTheme="minorHAnsi" w:hAnsiTheme="minorHAnsi" w:cstheme="minorHAnsi"/>
          <w:color w:val="000000" w:themeColor="text1"/>
          <w:szCs w:val="21"/>
        </w:rPr>
        <w:t xml:space="preserve">için büyük </w:t>
      </w:r>
      <w:r w:rsidRPr="00563596">
        <w:rPr>
          <w:rFonts w:asciiTheme="minorHAnsi" w:hAnsiTheme="minorHAnsi" w:cstheme="minorHAnsi"/>
          <w:color w:val="000000" w:themeColor="text1"/>
          <w:szCs w:val="21"/>
        </w:rPr>
        <w:t>özveri</w:t>
      </w:r>
      <w:r>
        <w:rPr>
          <w:rFonts w:asciiTheme="minorHAnsi" w:hAnsiTheme="minorHAnsi" w:cstheme="minorHAnsi"/>
          <w:color w:val="000000" w:themeColor="text1"/>
          <w:szCs w:val="21"/>
        </w:rPr>
        <w:t xml:space="preserve">lerde bulunarak </w:t>
      </w:r>
      <w:r w:rsidRPr="00563596">
        <w:rPr>
          <w:rFonts w:asciiTheme="minorHAnsi" w:hAnsiTheme="minorHAnsi" w:cstheme="minorHAnsi"/>
          <w:color w:val="000000" w:themeColor="text1"/>
          <w:szCs w:val="21"/>
        </w:rPr>
        <w:t>çalışmalarını sürdürm</w:t>
      </w:r>
      <w:r>
        <w:rPr>
          <w:rFonts w:asciiTheme="minorHAnsi" w:hAnsiTheme="minorHAnsi" w:cstheme="minorHAnsi"/>
          <w:color w:val="000000" w:themeColor="text1"/>
          <w:szCs w:val="21"/>
        </w:rPr>
        <w:t xml:space="preserve">üşlerdir. </w:t>
      </w:r>
      <w:r w:rsidRPr="00563596">
        <w:rPr>
          <w:rFonts w:asciiTheme="minorHAnsi" w:hAnsiTheme="minorHAnsi" w:cstheme="minorHAnsi"/>
          <w:color w:val="000000" w:themeColor="text1"/>
          <w:szCs w:val="21"/>
        </w:rPr>
        <w:t xml:space="preserve">Bu çabalara karşın, </w:t>
      </w:r>
      <w:r>
        <w:rPr>
          <w:rFonts w:asciiTheme="minorHAnsi" w:hAnsiTheme="minorHAnsi" w:cstheme="minorHAnsi"/>
          <w:color w:val="000000" w:themeColor="text1"/>
          <w:szCs w:val="21"/>
        </w:rPr>
        <w:t xml:space="preserve">özellikle kadın emekçilerin </w:t>
      </w:r>
      <w:r w:rsidRPr="00563596">
        <w:rPr>
          <w:rFonts w:asciiTheme="minorHAnsi" w:hAnsiTheme="minorHAnsi" w:cstheme="minorHAnsi"/>
          <w:color w:val="000000" w:themeColor="text1"/>
          <w:szCs w:val="21"/>
        </w:rPr>
        <w:t>yoğun ev içi emeği, eğitim alanının genel görünmezliği durumunun uzantısı olarak daha da görünmez kılınmıştır.</w:t>
      </w:r>
    </w:p>
    <w:p w:rsidR="00B41A63" w:rsidRDefault="00B41A63" w:rsidP="00B41A63">
      <w:pPr>
        <w:widowControl w:val="0"/>
        <w:shd w:val="clear" w:color="auto" w:fill="FFFFFF"/>
        <w:autoSpaceDE w:val="0"/>
        <w:autoSpaceDN w:val="0"/>
        <w:adjustRightInd w:val="0"/>
        <w:ind w:firstLine="426"/>
        <w:rPr>
          <w:sz w:val="24"/>
          <w:szCs w:val="24"/>
        </w:rPr>
      </w:pPr>
      <w:r w:rsidRPr="00B43C01">
        <w:rPr>
          <w:rFonts w:cstheme="minorHAnsi"/>
          <w:sz w:val="24"/>
          <w:szCs w:val="24"/>
        </w:rPr>
        <w:t>15 Temmuz sonrasında tüm kamuda olduğu gibi eğitim alanında d</w:t>
      </w:r>
      <w:r w:rsidR="00BD3FD6">
        <w:rPr>
          <w:rFonts w:cstheme="minorHAnsi"/>
          <w:sz w:val="24"/>
          <w:szCs w:val="24"/>
        </w:rPr>
        <w:t xml:space="preserve">a sözlü sınav/mülakatla </w:t>
      </w:r>
      <w:r w:rsidRPr="00B43C01">
        <w:rPr>
          <w:rFonts w:cstheme="minorHAnsi"/>
          <w:sz w:val="24"/>
          <w:szCs w:val="24"/>
        </w:rPr>
        <w:t xml:space="preserve">sözleşmeli öğretmen atamaları yapılmaya başlanmıştır. Öğretmen atamalarında mülakat </w:t>
      </w:r>
      <w:r>
        <w:rPr>
          <w:rFonts w:cstheme="minorHAnsi"/>
          <w:sz w:val="24"/>
          <w:szCs w:val="24"/>
        </w:rPr>
        <w:t xml:space="preserve">ve sözleşmeli istihdam </w:t>
      </w:r>
      <w:r w:rsidRPr="00B43C01">
        <w:rPr>
          <w:rFonts w:cstheme="minorHAnsi"/>
          <w:sz w:val="24"/>
          <w:szCs w:val="24"/>
        </w:rPr>
        <w:t>uygulamasında ısrar, liyakatin adım adım terk edil</w:t>
      </w:r>
      <w:r>
        <w:rPr>
          <w:rFonts w:cstheme="minorHAnsi"/>
          <w:sz w:val="24"/>
          <w:szCs w:val="24"/>
        </w:rPr>
        <w:t xml:space="preserve">mesini beraberinde getirmiştir. </w:t>
      </w:r>
      <w:r w:rsidRPr="00C54D0E">
        <w:rPr>
          <w:rFonts w:cstheme="minorHAnsi"/>
          <w:sz w:val="24"/>
          <w:szCs w:val="24"/>
        </w:rPr>
        <w:t>Sözleşmeli öğretmenlik uygulamasıyla birlikte eğitimde g</w:t>
      </w:r>
      <w:r w:rsidRPr="00C54D0E">
        <w:rPr>
          <w:sz w:val="24"/>
          <w:szCs w:val="24"/>
        </w:rPr>
        <w:t xml:space="preserve">üvencesiz istihdama kapı aralanması sağlanmıştır. Sayıları </w:t>
      </w:r>
      <w:r w:rsidR="00D95744">
        <w:rPr>
          <w:sz w:val="24"/>
          <w:szCs w:val="24"/>
        </w:rPr>
        <w:t xml:space="preserve">118 </w:t>
      </w:r>
      <w:r w:rsidRPr="00C54D0E">
        <w:rPr>
          <w:sz w:val="24"/>
          <w:szCs w:val="24"/>
        </w:rPr>
        <w:t xml:space="preserve">bini </w:t>
      </w:r>
      <w:r w:rsidR="00D95744">
        <w:rPr>
          <w:sz w:val="24"/>
          <w:szCs w:val="24"/>
        </w:rPr>
        <w:t xml:space="preserve">bulan </w:t>
      </w:r>
      <w:r w:rsidRPr="00C54D0E">
        <w:rPr>
          <w:sz w:val="24"/>
          <w:szCs w:val="24"/>
        </w:rPr>
        <w:t>sözleşmeli öğretmenlerin mazerete dayalı tay</w:t>
      </w:r>
      <w:r w:rsidR="00BD3FD6">
        <w:rPr>
          <w:sz w:val="24"/>
          <w:szCs w:val="24"/>
        </w:rPr>
        <w:t>in hakkı sorunu sürerken, 3 yıl</w:t>
      </w:r>
      <w:r w:rsidRPr="00C54D0E">
        <w:rPr>
          <w:sz w:val="24"/>
          <w:szCs w:val="24"/>
        </w:rPr>
        <w:t>+1 yıl sözleşmeli istihdam düzenlemesi</w:t>
      </w:r>
      <w:r>
        <w:rPr>
          <w:sz w:val="24"/>
          <w:szCs w:val="24"/>
        </w:rPr>
        <w:t xml:space="preserve"> </w:t>
      </w:r>
      <w:r w:rsidRPr="00C54D0E">
        <w:rPr>
          <w:sz w:val="24"/>
          <w:szCs w:val="24"/>
        </w:rPr>
        <w:t>var olan sorunlar</w:t>
      </w:r>
      <w:r>
        <w:rPr>
          <w:sz w:val="24"/>
          <w:szCs w:val="24"/>
        </w:rPr>
        <w:t xml:space="preserve">ı daha da derinleştirmiştir. </w:t>
      </w:r>
    </w:p>
    <w:p w:rsidR="00B41A63" w:rsidRDefault="00B41A63" w:rsidP="00B41A63">
      <w:pPr>
        <w:widowControl w:val="0"/>
        <w:shd w:val="clear" w:color="auto" w:fill="FFFFFF"/>
        <w:autoSpaceDE w:val="0"/>
        <w:autoSpaceDN w:val="0"/>
        <w:adjustRightInd w:val="0"/>
        <w:ind w:firstLine="426"/>
        <w:rPr>
          <w:sz w:val="24"/>
          <w:szCs w:val="24"/>
        </w:rPr>
      </w:pPr>
      <w:r w:rsidRPr="00B43C01">
        <w:rPr>
          <w:rFonts w:cstheme="minorHAnsi"/>
          <w:sz w:val="24"/>
          <w:szCs w:val="24"/>
        </w:rPr>
        <w:t>Ülke çapında görev yapan ve tamamı</w:t>
      </w:r>
      <w:r w:rsidR="00A7017A">
        <w:rPr>
          <w:rFonts w:cstheme="minorHAnsi"/>
          <w:sz w:val="24"/>
          <w:szCs w:val="24"/>
        </w:rPr>
        <w:t>na</w:t>
      </w:r>
      <w:r>
        <w:rPr>
          <w:rFonts w:cstheme="minorHAnsi"/>
          <w:sz w:val="24"/>
          <w:szCs w:val="24"/>
        </w:rPr>
        <w:t xml:space="preserve"> </w:t>
      </w:r>
      <w:r w:rsidRPr="00B43C01">
        <w:rPr>
          <w:rFonts w:cstheme="minorHAnsi"/>
          <w:sz w:val="24"/>
          <w:szCs w:val="24"/>
        </w:rPr>
        <w:t>yakını asgari ücreti</w:t>
      </w:r>
      <w:r>
        <w:rPr>
          <w:rFonts w:cstheme="minorHAnsi"/>
          <w:sz w:val="24"/>
          <w:szCs w:val="24"/>
        </w:rPr>
        <w:t>n</w:t>
      </w:r>
      <w:r w:rsidRPr="00B43C01">
        <w:rPr>
          <w:rFonts w:cstheme="minorHAnsi"/>
          <w:sz w:val="24"/>
          <w:szCs w:val="24"/>
        </w:rPr>
        <w:t xml:space="preserve"> altında ücret alan</w:t>
      </w:r>
      <w:r>
        <w:rPr>
          <w:rFonts w:cstheme="minorHAnsi"/>
          <w:sz w:val="24"/>
          <w:szCs w:val="24"/>
        </w:rPr>
        <w:t xml:space="preserve"> ve sigortaları 13-15 gün üzerinden yatan </w:t>
      </w:r>
      <w:r w:rsidRPr="00B43C01">
        <w:rPr>
          <w:rFonts w:cstheme="minorHAnsi"/>
          <w:sz w:val="24"/>
          <w:szCs w:val="24"/>
        </w:rPr>
        <w:t xml:space="preserve">ücretli öğretmen sayısı </w:t>
      </w:r>
      <w:r>
        <w:rPr>
          <w:rFonts w:cstheme="minorHAnsi"/>
          <w:sz w:val="24"/>
          <w:szCs w:val="24"/>
        </w:rPr>
        <w:t xml:space="preserve">ise </w:t>
      </w:r>
      <w:r w:rsidR="00D95744">
        <w:rPr>
          <w:rFonts w:cstheme="minorHAnsi"/>
          <w:sz w:val="24"/>
          <w:szCs w:val="24"/>
        </w:rPr>
        <w:t>90</w:t>
      </w:r>
      <w:r>
        <w:rPr>
          <w:rFonts w:cstheme="minorHAnsi"/>
          <w:sz w:val="24"/>
          <w:szCs w:val="24"/>
        </w:rPr>
        <w:t xml:space="preserve"> bine yakındır</w:t>
      </w:r>
      <w:r w:rsidRPr="00B43C01">
        <w:rPr>
          <w:rFonts w:cstheme="minorHAnsi"/>
          <w:sz w:val="24"/>
          <w:szCs w:val="24"/>
        </w:rPr>
        <w:t xml:space="preserve">. </w:t>
      </w:r>
      <w:r>
        <w:rPr>
          <w:sz w:val="24"/>
          <w:szCs w:val="24"/>
        </w:rPr>
        <w:t>Y</w:t>
      </w:r>
      <w:r w:rsidRPr="00C54D0E">
        <w:rPr>
          <w:sz w:val="24"/>
          <w:szCs w:val="24"/>
        </w:rPr>
        <w:t>ıllardır fiilen uygulanan ücretli öğretmenlik gerçekliği</w:t>
      </w:r>
      <w:r w:rsidR="00A7017A">
        <w:rPr>
          <w:sz w:val="24"/>
          <w:szCs w:val="24"/>
        </w:rPr>
        <w:t>nin</w:t>
      </w:r>
      <w:r w:rsidRPr="00C54D0E">
        <w:rPr>
          <w:sz w:val="24"/>
          <w:szCs w:val="24"/>
        </w:rPr>
        <w:t xml:space="preserve"> önümüzdeki temel sorunlardan birisi olması nedeniyle</w:t>
      </w:r>
      <w:r w:rsidR="00A7017A">
        <w:rPr>
          <w:sz w:val="24"/>
          <w:szCs w:val="24"/>
        </w:rPr>
        <w:t>,</w:t>
      </w:r>
      <w:r w:rsidRPr="00C54D0E">
        <w:rPr>
          <w:sz w:val="24"/>
          <w:szCs w:val="24"/>
        </w:rPr>
        <w:t xml:space="preserve"> eşit işe eşit ücret hakkının ve tüm özlük mesleki hakların bütün öğretmenler için uygulanması gerekmektedir. </w:t>
      </w:r>
    </w:p>
    <w:p w:rsidR="00B41A63" w:rsidRDefault="00B41A63" w:rsidP="00B41A63">
      <w:pPr>
        <w:pStyle w:val="NormalWeb"/>
        <w:shd w:val="clear" w:color="auto" w:fill="FFFFFF"/>
        <w:spacing w:before="0" w:beforeAutospacing="0" w:after="0" w:afterAutospacing="0"/>
        <w:ind w:firstLine="426"/>
        <w:jc w:val="both"/>
        <w:rPr>
          <w:rFonts w:asciiTheme="minorHAnsi" w:hAnsiTheme="minorHAnsi" w:cstheme="minorHAnsi"/>
        </w:rPr>
      </w:pPr>
      <w:r w:rsidRPr="00B41A63">
        <w:rPr>
          <w:rFonts w:asciiTheme="minorHAnsi" w:hAnsiTheme="minorHAnsi" w:cstheme="minorHAnsi"/>
        </w:rPr>
        <w:t>Sözleşmeli öğretmenlik mülakatında sorulan ve öğretmenlikle uzaktan yakından ilgisi bulunmayan ve basına da yansıyan siyasi içerikli sorular</w:t>
      </w:r>
      <w:r w:rsidR="00A7017A">
        <w:rPr>
          <w:rFonts w:asciiTheme="minorHAnsi" w:hAnsiTheme="minorHAnsi" w:cstheme="minorHAnsi"/>
        </w:rPr>
        <w:t>,</w:t>
      </w:r>
      <w:r w:rsidRPr="00B41A63">
        <w:rPr>
          <w:rFonts w:asciiTheme="minorHAnsi" w:hAnsiTheme="minorHAnsi" w:cstheme="minorHAnsi"/>
        </w:rPr>
        <w:t xml:space="preserve"> </w:t>
      </w:r>
      <w:proofErr w:type="spellStart"/>
      <w:r w:rsidRPr="00B41A63">
        <w:rPr>
          <w:rFonts w:asciiTheme="minorHAnsi" w:hAnsiTheme="minorHAnsi" w:cstheme="minorHAnsi"/>
        </w:rPr>
        <w:t>KPSS’de</w:t>
      </w:r>
      <w:proofErr w:type="spellEnd"/>
      <w:r w:rsidRPr="00B41A63">
        <w:rPr>
          <w:rFonts w:asciiTheme="minorHAnsi" w:hAnsiTheme="minorHAnsi" w:cstheme="minorHAnsi"/>
        </w:rPr>
        <w:t xml:space="preserve"> yüksek puan alan çok sayıda öğretmen adayının elenmesine neden olmuştur.</w:t>
      </w:r>
      <w:r w:rsidRPr="00E76235">
        <w:rPr>
          <w:rStyle w:val="Gl"/>
          <w:rFonts w:cstheme="minorHAnsi"/>
          <w:color w:val="000000"/>
          <w:shd w:val="clear" w:color="auto" w:fill="FFFFFF"/>
        </w:rPr>
        <w:t xml:space="preserve"> </w:t>
      </w:r>
      <w:r w:rsidRPr="00B41A63">
        <w:rPr>
          <w:rFonts w:asciiTheme="minorHAnsi" w:hAnsiTheme="minorHAnsi" w:cstheme="minorHAnsi"/>
        </w:rPr>
        <w:t>15 Temmuz darbe girişimi sonrasında kamu istihdamında benimsenen güvencesiz/sözleşmeli istihdam u</w:t>
      </w:r>
      <w:r w:rsidR="00A7017A">
        <w:rPr>
          <w:rFonts w:asciiTheme="minorHAnsi" w:hAnsiTheme="minorHAnsi" w:cstheme="minorHAnsi"/>
        </w:rPr>
        <w:t>ygulamalarının yaygınlaşması, ‘g</w:t>
      </w:r>
      <w:r w:rsidRPr="00B41A63">
        <w:rPr>
          <w:rFonts w:asciiTheme="minorHAnsi" w:hAnsiTheme="minorHAnsi" w:cstheme="minorHAnsi"/>
        </w:rPr>
        <w:t xml:space="preserve">üvenlik soruşturması’ adı altında yapılan elemeler, mülakat sınavlarında </w:t>
      </w:r>
      <w:r w:rsidRPr="00B41A63">
        <w:rPr>
          <w:rFonts w:asciiTheme="minorHAnsi" w:hAnsiTheme="minorHAnsi" w:cstheme="minorHAnsi"/>
          <w:color w:val="000000"/>
          <w:shd w:val="clear" w:color="auto" w:fill="FFFFFF"/>
        </w:rPr>
        <w:t xml:space="preserve">siyaseten muhalif görülen, iktidarın eğitim politikalarına onay vermeyen, onun istediği şekilde yaşamayan ve düşünmeyenlere </w:t>
      </w:r>
      <w:r w:rsidR="00A7017A">
        <w:rPr>
          <w:rFonts w:asciiTheme="minorHAnsi" w:hAnsiTheme="minorHAnsi" w:cstheme="minorHAnsi"/>
        </w:rPr>
        <w:t xml:space="preserve">yönelik </w:t>
      </w:r>
      <w:r w:rsidRPr="00B41A63">
        <w:rPr>
          <w:rFonts w:asciiTheme="minorHAnsi" w:hAnsiTheme="minorHAnsi" w:cstheme="minorHAnsi"/>
        </w:rPr>
        <w:t>benimsenen ayrımcı tutumların sürdürülmesi, öğretmen alımı ve istihdamında ciddi sorunların yaşanmasını beraberinde getirm</w:t>
      </w:r>
      <w:r>
        <w:rPr>
          <w:rFonts w:asciiTheme="minorHAnsi" w:hAnsiTheme="minorHAnsi" w:cstheme="minorHAnsi"/>
        </w:rPr>
        <w:t xml:space="preserve">iştir. </w:t>
      </w:r>
    </w:p>
    <w:p w:rsidR="0080153D" w:rsidRDefault="0080153D" w:rsidP="0080153D">
      <w:pPr>
        <w:widowControl w:val="0"/>
        <w:shd w:val="clear" w:color="auto" w:fill="FFFFFF"/>
        <w:autoSpaceDE w:val="0"/>
        <w:autoSpaceDN w:val="0"/>
        <w:adjustRightInd w:val="0"/>
        <w:ind w:firstLine="426"/>
        <w:rPr>
          <w:sz w:val="24"/>
          <w:szCs w:val="24"/>
        </w:rPr>
      </w:pPr>
      <w:r w:rsidRPr="00C54D0E">
        <w:rPr>
          <w:sz w:val="24"/>
          <w:szCs w:val="24"/>
        </w:rPr>
        <w:t>Ö</w:t>
      </w:r>
      <w:r w:rsidRPr="00C54D0E">
        <w:rPr>
          <w:rFonts w:cstheme="minorHAnsi"/>
          <w:sz w:val="24"/>
          <w:szCs w:val="24"/>
        </w:rPr>
        <w:t>ğretmenler arasında kadrolu, sözleşmeli ya da ücretli öğretmen ayrımı yapılması doğru değildir. Sözleşmeli ve ücretli öğretmenlerin</w:t>
      </w:r>
      <w:r w:rsidR="00AF0A45">
        <w:rPr>
          <w:rFonts w:cstheme="minorHAnsi"/>
          <w:sz w:val="24"/>
          <w:szCs w:val="24"/>
        </w:rPr>
        <w:t>,</w:t>
      </w:r>
      <w:r w:rsidRPr="00C54D0E">
        <w:rPr>
          <w:rFonts w:cstheme="minorHAnsi"/>
          <w:sz w:val="24"/>
          <w:szCs w:val="24"/>
        </w:rPr>
        <w:t xml:space="preserve"> mevcut çalışma koşulları ile öğrencilere ve genel olarak eğitime </w:t>
      </w:r>
      <w:r>
        <w:rPr>
          <w:rFonts w:cstheme="minorHAnsi"/>
          <w:sz w:val="24"/>
          <w:szCs w:val="24"/>
        </w:rPr>
        <w:t xml:space="preserve">yeterince </w:t>
      </w:r>
      <w:r w:rsidRPr="00C54D0E">
        <w:rPr>
          <w:rFonts w:cstheme="minorHAnsi"/>
          <w:sz w:val="24"/>
          <w:szCs w:val="24"/>
        </w:rPr>
        <w:t xml:space="preserve">faydasının olması mümkün değildir. </w:t>
      </w:r>
      <w:r>
        <w:rPr>
          <w:sz w:val="24"/>
          <w:szCs w:val="24"/>
        </w:rPr>
        <w:t xml:space="preserve">Eğitimin niteliği düşünülüyorsa </w:t>
      </w:r>
      <w:r w:rsidRPr="00C54D0E">
        <w:rPr>
          <w:sz w:val="24"/>
          <w:szCs w:val="24"/>
        </w:rPr>
        <w:t>sözleşmeli, ücretli ya da başka bir ad altında yapılan öğretmenlik uygulamalarının tamamına son verilme</w:t>
      </w:r>
      <w:r>
        <w:rPr>
          <w:sz w:val="24"/>
          <w:szCs w:val="24"/>
        </w:rPr>
        <w:t>l</w:t>
      </w:r>
      <w:r w:rsidRPr="00C54D0E">
        <w:rPr>
          <w:sz w:val="24"/>
          <w:szCs w:val="24"/>
        </w:rPr>
        <w:t xml:space="preserve">idir. </w:t>
      </w:r>
    </w:p>
    <w:p w:rsidR="0080153D" w:rsidRDefault="0080153D" w:rsidP="0080153D">
      <w:pPr>
        <w:pStyle w:val="ListeParagraf"/>
        <w:spacing w:after="0" w:line="240" w:lineRule="auto"/>
        <w:ind w:left="0" w:firstLine="426"/>
        <w:jc w:val="both"/>
        <w:rPr>
          <w:rFonts w:cstheme="minorHAnsi"/>
          <w:sz w:val="24"/>
          <w:szCs w:val="24"/>
        </w:rPr>
      </w:pPr>
      <w:r w:rsidRPr="00B43C01">
        <w:rPr>
          <w:rFonts w:cstheme="minorHAnsi"/>
          <w:sz w:val="24"/>
        </w:rPr>
        <w:lastRenderedPageBreak/>
        <w:t xml:space="preserve">Kamu hizmetlerinin sürekliliği, düzenliliği ve halka daha nitelikli olarak sunulması için eğitimde her türlü güvencesiz istihdam uygulamasından derhal vazgeçilmeli, ataması yapılmayan öğretmenler sorunu kalıcı olarak çözülerek herkese kadrolu ve güvenceli </w:t>
      </w:r>
      <w:r w:rsidRPr="00B43C01">
        <w:rPr>
          <w:rFonts w:cstheme="minorHAnsi"/>
          <w:sz w:val="24"/>
          <w:szCs w:val="24"/>
        </w:rPr>
        <w:t xml:space="preserve">istihdam sağlanmalıdır. </w:t>
      </w:r>
    </w:p>
    <w:p w:rsidR="006D2CC2" w:rsidRDefault="006D2CC2" w:rsidP="006D2CC2">
      <w:pPr>
        <w:rPr>
          <w:rFonts w:cstheme="minorHAnsi"/>
          <w:sz w:val="24"/>
          <w:szCs w:val="24"/>
        </w:rPr>
      </w:pPr>
    </w:p>
    <w:p w:rsidR="006D2CC2" w:rsidRPr="006D2CC2" w:rsidRDefault="006D2CC2" w:rsidP="006D2CC2">
      <w:pPr>
        <w:rPr>
          <w:rFonts w:cstheme="minorHAnsi"/>
          <w:b/>
          <w:sz w:val="24"/>
          <w:szCs w:val="24"/>
        </w:rPr>
      </w:pPr>
      <w:r w:rsidRPr="006D2CC2">
        <w:rPr>
          <w:rFonts w:cstheme="minorHAnsi"/>
          <w:b/>
          <w:sz w:val="24"/>
          <w:szCs w:val="24"/>
        </w:rPr>
        <w:t xml:space="preserve">ATAMASI YAPILMAYAN </w:t>
      </w:r>
      <w:r w:rsidR="00D95744">
        <w:rPr>
          <w:rFonts w:cstheme="minorHAnsi"/>
          <w:b/>
          <w:sz w:val="24"/>
          <w:szCs w:val="24"/>
        </w:rPr>
        <w:t xml:space="preserve">ÖĞRETMENLER SORUNU </w:t>
      </w:r>
      <w:r w:rsidRPr="006D2CC2">
        <w:rPr>
          <w:rFonts w:cstheme="minorHAnsi"/>
          <w:b/>
          <w:sz w:val="24"/>
          <w:szCs w:val="24"/>
        </w:rPr>
        <w:t>VE EMEKLİ OLAN ÖĞRETMENLER</w:t>
      </w:r>
    </w:p>
    <w:p w:rsidR="0080153D" w:rsidRDefault="0080153D" w:rsidP="0080153D"/>
    <w:p w:rsidR="006D2CC2" w:rsidRDefault="006D2CC2" w:rsidP="006D2CC2">
      <w:pPr>
        <w:pStyle w:val="ListeParagraf"/>
        <w:spacing w:after="0" w:line="240" w:lineRule="auto"/>
        <w:ind w:left="0" w:firstLine="425"/>
        <w:jc w:val="both"/>
        <w:rPr>
          <w:rFonts w:cstheme="minorHAnsi"/>
          <w:sz w:val="24"/>
          <w:szCs w:val="24"/>
        </w:rPr>
      </w:pPr>
      <w:r>
        <w:rPr>
          <w:rFonts w:cstheme="minorHAnsi"/>
          <w:sz w:val="24"/>
          <w:szCs w:val="24"/>
        </w:rPr>
        <w:t>Türkiye çapında eğiti</w:t>
      </w:r>
      <w:r w:rsidR="00AF0A45">
        <w:rPr>
          <w:rFonts w:cstheme="minorHAnsi"/>
          <w:sz w:val="24"/>
          <w:szCs w:val="24"/>
        </w:rPr>
        <w:t>m</w:t>
      </w:r>
      <w:r>
        <w:rPr>
          <w:rFonts w:cstheme="minorHAnsi"/>
          <w:sz w:val="24"/>
          <w:szCs w:val="24"/>
        </w:rPr>
        <w:t xml:space="preserve"> öğretim hizmet kolunda görev yapan 974 bin 837 öğretmenin (87 bin 741’i eğitim yöneticisi) yüzde 71’i (693 bin 22) son 19 yıl içinde atanmıştır. Aynı süre içinde </w:t>
      </w:r>
      <w:proofErr w:type="spellStart"/>
      <w:r w:rsidRPr="00FE28CF">
        <w:rPr>
          <w:rFonts w:cstheme="minorHAnsi"/>
          <w:sz w:val="24"/>
          <w:szCs w:val="24"/>
        </w:rPr>
        <w:t>KPSS’ye</w:t>
      </w:r>
      <w:proofErr w:type="spellEnd"/>
      <w:r w:rsidRPr="00FE28CF">
        <w:rPr>
          <w:rFonts w:cstheme="minorHAnsi"/>
          <w:sz w:val="24"/>
          <w:szCs w:val="24"/>
        </w:rPr>
        <w:t xml:space="preserve"> giren her </w:t>
      </w:r>
      <w:r w:rsidRPr="001B713E">
        <w:rPr>
          <w:rFonts w:cstheme="minorHAnsi"/>
          <w:sz w:val="24"/>
          <w:szCs w:val="24"/>
        </w:rPr>
        <w:t>100</w:t>
      </w:r>
      <w:r w:rsidRPr="00B03ACE">
        <w:rPr>
          <w:rFonts w:cstheme="minorHAnsi"/>
          <w:b/>
          <w:sz w:val="24"/>
          <w:szCs w:val="24"/>
        </w:rPr>
        <w:t xml:space="preserve"> </w:t>
      </w:r>
      <w:r w:rsidRPr="00FE28CF">
        <w:rPr>
          <w:rFonts w:cstheme="minorHAnsi"/>
          <w:sz w:val="24"/>
          <w:szCs w:val="24"/>
        </w:rPr>
        <w:t xml:space="preserve">öğretmenden </w:t>
      </w:r>
      <w:r>
        <w:rPr>
          <w:rFonts w:cstheme="minorHAnsi"/>
          <w:sz w:val="24"/>
          <w:szCs w:val="24"/>
        </w:rPr>
        <w:t xml:space="preserve">sadece </w:t>
      </w:r>
      <w:r w:rsidRPr="001B713E">
        <w:rPr>
          <w:rFonts w:cstheme="minorHAnsi"/>
          <w:sz w:val="24"/>
          <w:szCs w:val="24"/>
        </w:rPr>
        <w:t>1</w:t>
      </w:r>
      <w:r>
        <w:rPr>
          <w:rFonts w:cstheme="minorHAnsi"/>
          <w:sz w:val="24"/>
          <w:szCs w:val="24"/>
        </w:rPr>
        <w:t>6</w:t>
      </w:r>
      <w:r w:rsidRPr="001B713E">
        <w:rPr>
          <w:rFonts w:cstheme="minorHAnsi"/>
          <w:sz w:val="24"/>
          <w:szCs w:val="24"/>
        </w:rPr>
        <w:t>’</w:t>
      </w:r>
      <w:r>
        <w:rPr>
          <w:rFonts w:cstheme="minorHAnsi"/>
          <w:sz w:val="24"/>
          <w:szCs w:val="24"/>
        </w:rPr>
        <w:t>sının</w:t>
      </w:r>
      <w:r w:rsidRPr="00FE28CF">
        <w:rPr>
          <w:rFonts w:cstheme="minorHAnsi"/>
          <w:sz w:val="24"/>
          <w:szCs w:val="24"/>
        </w:rPr>
        <w:t xml:space="preserve"> ataması yapılmış, geriye kalan </w:t>
      </w:r>
      <w:r w:rsidRPr="001B713E">
        <w:rPr>
          <w:rFonts w:cstheme="minorHAnsi"/>
          <w:sz w:val="24"/>
          <w:szCs w:val="24"/>
        </w:rPr>
        <w:t>8</w:t>
      </w:r>
      <w:r>
        <w:rPr>
          <w:rFonts w:cstheme="minorHAnsi"/>
          <w:sz w:val="24"/>
          <w:szCs w:val="24"/>
        </w:rPr>
        <w:t>4</w:t>
      </w:r>
      <w:r w:rsidRPr="00FE28CF">
        <w:rPr>
          <w:rFonts w:cstheme="minorHAnsi"/>
          <w:sz w:val="24"/>
          <w:szCs w:val="24"/>
        </w:rPr>
        <w:t xml:space="preserve"> işsiz öğretmen ya tekrar sınava girmek ya da başka alanlarda çalışmak zorunda bırakılmıştır. Ataması yapılmayan öğretmenler</w:t>
      </w:r>
      <w:r>
        <w:rPr>
          <w:rFonts w:cstheme="minorHAnsi"/>
          <w:sz w:val="24"/>
          <w:szCs w:val="24"/>
        </w:rPr>
        <w:t>in</w:t>
      </w:r>
      <w:r w:rsidRPr="00FE28CF">
        <w:rPr>
          <w:rFonts w:cstheme="minorHAnsi"/>
          <w:sz w:val="24"/>
          <w:szCs w:val="24"/>
        </w:rPr>
        <w:t xml:space="preserve"> zorunlu olarak meslekleri dışında işler yapmaya zorlanma</w:t>
      </w:r>
      <w:r>
        <w:rPr>
          <w:rFonts w:cstheme="minorHAnsi"/>
          <w:sz w:val="24"/>
          <w:szCs w:val="24"/>
        </w:rPr>
        <w:t xml:space="preserve">sı ve </w:t>
      </w:r>
      <w:r w:rsidRPr="00FE28CF">
        <w:rPr>
          <w:rFonts w:cstheme="minorHAnsi"/>
          <w:sz w:val="24"/>
          <w:szCs w:val="24"/>
        </w:rPr>
        <w:t>meslekleri ile ilgisi olmayan alanlarda çalışmak zorunda bırakılma</w:t>
      </w:r>
      <w:r>
        <w:rPr>
          <w:rFonts w:cstheme="minorHAnsi"/>
          <w:sz w:val="24"/>
          <w:szCs w:val="24"/>
        </w:rPr>
        <w:t xml:space="preserve">sı Türkiye için utanç vericidir. </w:t>
      </w:r>
    </w:p>
    <w:p w:rsidR="006D2CC2" w:rsidRDefault="006D2CC2" w:rsidP="006D2CC2">
      <w:pPr>
        <w:ind w:firstLine="426"/>
        <w:rPr>
          <w:rFonts w:cstheme="minorHAnsi"/>
          <w:sz w:val="24"/>
          <w:szCs w:val="24"/>
        </w:rPr>
      </w:pPr>
      <w:r>
        <w:rPr>
          <w:rFonts w:cstheme="minorHAnsi"/>
          <w:sz w:val="24"/>
          <w:szCs w:val="24"/>
        </w:rPr>
        <w:t xml:space="preserve">Son 19 yıl içinde atanan öğretmenlerin yüzde 71’i AKP hükümetleri döneminde göreve başlamış olmakla birlikte, aynı dönemde 245 bin 684 deneyimli öğretmen emekli olmuştur. Öğretmenlerin emeklilik oranları 2008 yılına kadar yüksek seyrederken, 2008 yılında sosyal güvenlik sisteminde yapılan değişiklik sonrasında emekli aylıklarındaki ‘aylık bağlama </w:t>
      </w:r>
      <w:proofErr w:type="spellStart"/>
      <w:r>
        <w:rPr>
          <w:rFonts w:cstheme="minorHAnsi"/>
          <w:sz w:val="24"/>
          <w:szCs w:val="24"/>
        </w:rPr>
        <w:t>oranı’nın</w:t>
      </w:r>
      <w:proofErr w:type="spellEnd"/>
      <w:r>
        <w:rPr>
          <w:rFonts w:cstheme="minorHAnsi"/>
          <w:sz w:val="24"/>
          <w:szCs w:val="24"/>
        </w:rPr>
        <w:t xml:space="preserve"> düşürülmesinin ardından emeklilik sayılarında belirgin bir azalma yaşanması dikkat çekicidir. Bu durumun temel nedeni öğretmenlerin çalışırken aldıkları maaşın, emekli olduklarında yarı yarıya azalıyor olmasıdır. </w:t>
      </w:r>
    </w:p>
    <w:p w:rsidR="006D2CC2" w:rsidRPr="00D95744" w:rsidRDefault="006D2CC2" w:rsidP="006D2CC2">
      <w:pPr>
        <w:rPr>
          <w:rFonts w:cstheme="minorHAnsi"/>
          <w:sz w:val="16"/>
          <w:szCs w:val="16"/>
        </w:rPr>
      </w:pPr>
    </w:p>
    <w:p w:rsidR="006D2CC2" w:rsidRDefault="006D2CC2" w:rsidP="006D2CC2">
      <w:pPr>
        <w:jc w:val="right"/>
        <w:rPr>
          <w:rFonts w:cstheme="minorHAnsi"/>
          <w:sz w:val="24"/>
          <w:szCs w:val="24"/>
        </w:rPr>
      </w:pPr>
      <w:r>
        <w:rPr>
          <w:noProof/>
          <w:lang w:eastAsia="tr-TR"/>
        </w:rPr>
        <w:drawing>
          <wp:inline distT="0" distB="0" distL="0" distR="0" wp14:anchorId="383FBB10" wp14:editId="7FF82F79">
            <wp:extent cx="5762625" cy="258127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D2CC2" w:rsidRDefault="006D2CC2" w:rsidP="006D2CC2">
      <w:pPr>
        <w:ind w:firstLine="426"/>
        <w:rPr>
          <w:rFonts w:cstheme="minorHAnsi"/>
          <w:sz w:val="24"/>
          <w:szCs w:val="24"/>
        </w:rPr>
      </w:pPr>
    </w:p>
    <w:p w:rsidR="006D2CC2" w:rsidRDefault="006D2CC2" w:rsidP="006D2CC2">
      <w:pPr>
        <w:ind w:firstLine="426"/>
        <w:rPr>
          <w:rFonts w:cstheme="minorHAnsi"/>
          <w:sz w:val="24"/>
          <w:szCs w:val="24"/>
        </w:rPr>
      </w:pPr>
      <w:r>
        <w:rPr>
          <w:rFonts w:cstheme="minorHAnsi"/>
          <w:sz w:val="24"/>
          <w:szCs w:val="24"/>
        </w:rPr>
        <w:t>15 Temmuz darbe girişimi öncesinde emeklilik dilekçesi ver</w:t>
      </w:r>
      <w:r w:rsidR="00326E23">
        <w:rPr>
          <w:rFonts w:cstheme="minorHAnsi"/>
          <w:sz w:val="24"/>
          <w:szCs w:val="24"/>
        </w:rPr>
        <w:t>en</w:t>
      </w:r>
      <w:r>
        <w:rPr>
          <w:rFonts w:cstheme="minorHAnsi"/>
          <w:sz w:val="24"/>
          <w:szCs w:val="24"/>
        </w:rPr>
        <w:t xml:space="preserve"> öğretmen sayısının 9 bin 943 olmasına rağmen, darbe girişimi sonrası ilan edilen OHAL ve KHK’lerin de etkisiyle </w:t>
      </w:r>
      <w:r w:rsidR="00326E23">
        <w:rPr>
          <w:rFonts w:cstheme="minorHAnsi"/>
          <w:sz w:val="24"/>
          <w:szCs w:val="24"/>
        </w:rPr>
        <w:t xml:space="preserve">bu sayı </w:t>
      </w:r>
      <w:r>
        <w:rPr>
          <w:rFonts w:cstheme="minorHAnsi"/>
          <w:sz w:val="24"/>
          <w:szCs w:val="24"/>
        </w:rPr>
        <w:t xml:space="preserve">2017’de yüzde 68 gibi yüksek bir oranda artarak 14 bin 548’e çıkmış olmasıdır. 2019 yılında sözleşmeli olarak ataması yapılan öğretmen sayısı 41 bin 379 iken, emekli, vefat, istifa </w:t>
      </w:r>
      <w:r w:rsidR="00D5052D">
        <w:rPr>
          <w:rFonts w:cstheme="minorHAnsi"/>
          <w:sz w:val="24"/>
          <w:szCs w:val="24"/>
        </w:rPr>
        <w:t>vb.</w:t>
      </w:r>
      <w:r>
        <w:rPr>
          <w:rFonts w:cstheme="minorHAnsi"/>
          <w:sz w:val="24"/>
          <w:szCs w:val="24"/>
        </w:rPr>
        <w:t xml:space="preserve"> nedenlerle öğretmenlik mesleğinden ayrılanların sayısı 15 bin 19’dur (13 bin 182 emekli, bin 837 istifa, vefat vd.).</w:t>
      </w:r>
    </w:p>
    <w:p w:rsidR="006D2CC2" w:rsidRDefault="006D2CC2" w:rsidP="006D2CC2">
      <w:pPr>
        <w:ind w:firstLine="425"/>
        <w:rPr>
          <w:sz w:val="24"/>
          <w:szCs w:val="24"/>
        </w:rPr>
      </w:pPr>
      <w:r w:rsidRPr="00E53589">
        <w:rPr>
          <w:sz w:val="24"/>
          <w:szCs w:val="24"/>
        </w:rPr>
        <w:t>Nitelikli bir eğitimin gerçekleştirilebilmesi için öğretmenlerin yetiştirilme ve atanma süre</w:t>
      </w:r>
      <w:r w:rsidR="00326E23">
        <w:rPr>
          <w:sz w:val="24"/>
          <w:szCs w:val="24"/>
        </w:rPr>
        <w:t xml:space="preserve">çleri </w:t>
      </w:r>
      <w:r w:rsidRPr="00E53589">
        <w:rPr>
          <w:sz w:val="24"/>
          <w:szCs w:val="24"/>
        </w:rPr>
        <w:t xml:space="preserve">planlı bir şekilde işletilmeli, </w:t>
      </w:r>
      <w:r>
        <w:rPr>
          <w:sz w:val="24"/>
          <w:szCs w:val="24"/>
        </w:rPr>
        <w:t xml:space="preserve">giderek büyüyen </w:t>
      </w:r>
      <w:r w:rsidRPr="00E53589">
        <w:rPr>
          <w:sz w:val="24"/>
          <w:szCs w:val="24"/>
        </w:rPr>
        <w:t xml:space="preserve">ataması yapılmayan öğretmenler sorunu kalıcı olarak çözülmelidir. </w:t>
      </w:r>
      <w:r>
        <w:rPr>
          <w:sz w:val="24"/>
          <w:szCs w:val="24"/>
        </w:rPr>
        <w:t xml:space="preserve">Kadrolu olarak atanmak isteyen öğretmen arkadaşlarımızın talepleri yerine getirilmeli, yapısal bir sorun haline gelen öğretmen açıklarını kapatmak için gerekli adımlar derhal atılmalıdır. </w:t>
      </w:r>
    </w:p>
    <w:p w:rsidR="006D2CC2" w:rsidRDefault="006D2CC2" w:rsidP="006D2CC2">
      <w:pPr>
        <w:ind w:firstLine="425"/>
        <w:rPr>
          <w:sz w:val="24"/>
          <w:szCs w:val="24"/>
        </w:rPr>
      </w:pPr>
      <w:r>
        <w:rPr>
          <w:sz w:val="24"/>
          <w:szCs w:val="24"/>
        </w:rPr>
        <w:t xml:space="preserve">Öğretmenler arasında kadrolu, sözleşmeli ya da ücretli öğretmen ayrımı yapılması doğru değildir. Eğitimde yaşanan nitelik bozulmasının bir nedeni de, öğretmen alımında güvencesiz istihdam politikalarının benimsenmesidir. Bütün öğretmenlerin kadrolu çalışması sağlanana kadar, en azından bugün için sözleşmeli </w:t>
      </w:r>
      <w:r w:rsidR="00490432">
        <w:rPr>
          <w:sz w:val="24"/>
          <w:szCs w:val="24"/>
        </w:rPr>
        <w:t xml:space="preserve">ve ücretli </w:t>
      </w:r>
      <w:r>
        <w:rPr>
          <w:sz w:val="24"/>
          <w:szCs w:val="24"/>
        </w:rPr>
        <w:t xml:space="preserve">öğretmenlere yönelik ayrımcı ve hukuksuz uygulamalardan vazgeçilmelidir. </w:t>
      </w:r>
    </w:p>
    <w:p w:rsidR="006D2CC2" w:rsidRDefault="006D2CC2" w:rsidP="006D2CC2">
      <w:pPr>
        <w:ind w:firstLine="425"/>
        <w:rPr>
          <w:sz w:val="24"/>
          <w:szCs w:val="24"/>
        </w:rPr>
      </w:pPr>
      <w:r w:rsidRPr="000C59A2">
        <w:rPr>
          <w:sz w:val="24"/>
        </w:rPr>
        <w:lastRenderedPageBreak/>
        <w:t>Sözleşmeli ve ücretli öğretmenlerin mevcut çalışma koşulları ile öğrencilere ve genel olarak eğitim sistemine fayda</w:t>
      </w:r>
      <w:r>
        <w:rPr>
          <w:sz w:val="24"/>
        </w:rPr>
        <w:t xml:space="preserve">sının olmadığı geçmiş uygulamalarla somut bir şekilde görülmüştür. Kamu hizmetlerinin sürekliliği, düzenliliği ve halka daha nitelikli olarak sunulması için eğitimde her türlü güvencesiz istihdam uygulamasından derhal vazgeçilmeli, ataması yapılmayan öğretmenler sorunu kalıcı olarak çözülerek herkese </w:t>
      </w:r>
      <w:r w:rsidRPr="000C59A2">
        <w:rPr>
          <w:sz w:val="24"/>
        </w:rPr>
        <w:t>kadrolu ve güvence</w:t>
      </w:r>
      <w:r>
        <w:rPr>
          <w:sz w:val="24"/>
        </w:rPr>
        <w:t xml:space="preserve">li </w:t>
      </w:r>
      <w:r w:rsidRPr="00E33054">
        <w:rPr>
          <w:sz w:val="24"/>
          <w:szCs w:val="24"/>
        </w:rPr>
        <w:t xml:space="preserve">istihdam sağlanmalıdır. </w:t>
      </w:r>
    </w:p>
    <w:p w:rsidR="006D2CC2" w:rsidRDefault="006D2CC2" w:rsidP="006D2CC2">
      <w:pPr>
        <w:ind w:firstLine="425"/>
        <w:rPr>
          <w:sz w:val="24"/>
          <w:szCs w:val="24"/>
        </w:rPr>
      </w:pPr>
    </w:p>
    <w:p w:rsidR="00844F46" w:rsidRPr="00844F46" w:rsidRDefault="00844F46" w:rsidP="00844F46">
      <w:pPr>
        <w:pStyle w:val="GvdeMetni"/>
        <w:spacing w:after="0"/>
        <w:rPr>
          <w:rFonts w:ascii="Calibri" w:hAnsi="Calibri"/>
          <w:b/>
          <w:sz w:val="24"/>
        </w:rPr>
      </w:pPr>
      <w:r w:rsidRPr="00844F46">
        <w:rPr>
          <w:b/>
          <w:bCs/>
          <w:sz w:val="24"/>
        </w:rPr>
        <w:t>SONUÇ</w:t>
      </w:r>
    </w:p>
    <w:p w:rsidR="00844F46" w:rsidRPr="004C65D4" w:rsidRDefault="00844F46" w:rsidP="00844F46">
      <w:pPr>
        <w:pStyle w:val="NormalWeb"/>
        <w:spacing w:before="0" w:beforeAutospacing="0" w:after="0" w:afterAutospacing="0"/>
        <w:ind w:firstLine="360"/>
        <w:jc w:val="both"/>
        <w:rPr>
          <w:rFonts w:ascii="Calibri" w:hAnsi="Calibri"/>
          <w:sz w:val="16"/>
        </w:rPr>
      </w:pPr>
    </w:p>
    <w:p w:rsidR="00844F46" w:rsidRDefault="00844F46" w:rsidP="00844F46">
      <w:pPr>
        <w:pStyle w:val="NormalWeb"/>
        <w:spacing w:before="0" w:beforeAutospacing="0" w:after="0" w:afterAutospacing="0"/>
        <w:ind w:firstLine="360"/>
        <w:jc w:val="both"/>
        <w:rPr>
          <w:rFonts w:ascii="Calibri" w:hAnsi="Calibri"/>
        </w:rPr>
      </w:pPr>
      <w:r>
        <w:rPr>
          <w:rFonts w:ascii="Calibri" w:hAnsi="Calibri"/>
        </w:rPr>
        <w:t>2</w:t>
      </w:r>
      <w:r w:rsidRPr="00840808">
        <w:rPr>
          <w:rFonts w:ascii="Calibri" w:hAnsi="Calibri"/>
        </w:rPr>
        <w:t>0</w:t>
      </w:r>
      <w:r>
        <w:rPr>
          <w:rFonts w:ascii="Calibri" w:hAnsi="Calibri"/>
        </w:rPr>
        <w:t>20</w:t>
      </w:r>
      <w:r w:rsidRPr="00840808">
        <w:rPr>
          <w:rFonts w:ascii="Calibri" w:hAnsi="Calibri"/>
        </w:rPr>
        <w:t>-20</w:t>
      </w:r>
      <w:r>
        <w:rPr>
          <w:rFonts w:ascii="Calibri" w:hAnsi="Calibri"/>
        </w:rPr>
        <w:t>21</w:t>
      </w:r>
      <w:r w:rsidRPr="00840808">
        <w:rPr>
          <w:rFonts w:ascii="Calibri" w:hAnsi="Calibri"/>
        </w:rPr>
        <w:t xml:space="preserve"> eğitim öğretim yılın</w:t>
      </w:r>
      <w:r>
        <w:rPr>
          <w:rFonts w:ascii="Calibri" w:hAnsi="Calibri"/>
        </w:rPr>
        <w:t xml:space="preserve">da eğitim alanında yaşanan gelişmeler, MEB’in </w:t>
      </w:r>
      <w:r w:rsidRPr="00840808">
        <w:rPr>
          <w:rFonts w:ascii="Calibri" w:hAnsi="Calibri"/>
        </w:rPr>
        <w:t>eğitimin yapısal sorunlarına yönelik somut ve çözüme dayalı politikalar geliştir</w:t>
      </w:r>
      <w:r>
        <w:rPr>
          <w:rFonts w:ascii="Calibri" w:hAnsi="Calibri"/>
        </w:rPr>
        <w:t xml:space="preserve">mek için gerekli adımları </w:t>
      </w:r>
      <w:r w:rsidR="00CB5A1A">
        <w:rPr>
          <w:rFonts w:ascii="Calibri" w:hAnsi="Calibri"/>
        </w:rPr>
        <w:t xml:space="preserve">atmaktan geri durduğunu </w:t>
      </w:r>
      <w:r>
        <w:rPr>
          <w:rFonts w:ascii="Calibri" w:hAnsi="Calibri"/>
        </w:rPr>
        <w:t xml:space="preserve">göstermiştir. </w:t>
      </w:r>
    </w:p>
    <w:p w:rsidR="00844F46" w:rsidRDefault="00844F46" w:rsidP="00844F46">
      <w:pPr>
        <w:pStyle w:val="NormalWeb"/>
        <w:spacing w:before="0" w:beforeAutospacing="0" w:after="0" w:afterAutospacing="0"/>
        <w:ind w:firstLine="360"/>
        <w:jc w:val="both"/>
        <w:rPr>
          <w:rFonts w:ascii="Calibri" w:hAnsi="Calibri"/>
        </w:rPr>
      </w:pPr>
      <w:proofErr w:type="spellStart"/>
      <w:r>
        <w:rPr>
          <w:rFonts w:ascii="Calibri" w:hAnsi="Calibri"/>
        </w:rPr>
        <w:t>Pandemi</w:t>
      </w:r>
      <w:proofErr w:type="spellEnd"/>
      <w:r>
        <w:rPr>
          <w:rFonts w:ascii="Calibri" w:hAnsi="Calibri"/>
        </w:rPr>
        <w:t xml:space="preserve"> nedeniyle uygulanan uzaktan eğitim ile ilgili sorunların çözümü için gerekli adımların atılmadığı</w:t>
      </w:r>
      <w:r w:rsidR="00D95744">
        <w:rPr>
          <w:rFonts w:ascii="Calibri" w:hAnsi="Calibri"/>
        </w:rPr>
        <w:t>, eğitim alanında yaşanan yapısal sorunlara kalıcı çözümler üretilmediği görülmüştür. E</w:t>
      </w:r>
      <w:r>
        <w:rPr>
          <w:rFonts w:ascii="Calibri" w:hAnsi="Calibri"/>
        </w:rPr>
        <w:t xml:space="preserve">ğitime erişimde yaşanan sorunlar başta olmak üzere eğitimde dayatmacı politikaların sürmesi nedeniyle </w:t>
      </w:r>
      <w:r w:rsidRPr="00840808">
        <w:rPr>
          <w:rFonts w:ascii="Calibri" w:hAnsi="Calibri"/>
        </w:rPr>
        <w:t xml:space="preserve">öğrencilerin </w:t>
      </w:r>
      <w:r>
        <w:rPr>
          <w:rFonts w:ascii="Calibri" w:hAnsi="Calibri"/>
        </w:rPr>
        <w:t xml:space="preserve">ve öğretmenlerin mutsuz olduğu, eğitim sürecinde </w:t>
      </w:r>
      <w:r w:rsidRPr="00840808">
        <w:rPr>
          <w:rFonts w:ascii="Calibri" w:hAnsi="Calibri"/>
        </w:rPr>
        <w:t>farklı dil</w:t>
      </w:r>
      <w:r>
        <w:rPr>
          <w:rFonts w:ascii="Calibri" w:hAnsi="Calibri"/>
        </w:rPr>
        <w:t xml:space="preserve">, </w:t>
      </w:r>
      <w:r w:rsidRPr="00840808">
        <w:rPr>
          <w:rFonts w:ascii="Calibri" w:hAnsi="Calibri"/>
        </w:rPr>
        <w:t>kimlik</w:t>
      </w:r>
      <w:r>
        <w:rPr>
          <w:rFonts w:ascii="Calibri" w:hAnsi="Calibri"/>
        </w:rPr>
        <w:t xml:space="preserve"> ve inançların </w:t>
      </w:r>
      <w:r w:rsidRPr="00840808">
        <w:rPr>
          <w:rFonts w:ascii="Calibri" w:hAnsi="Calibri"/>
        </w:rPr>
        <w:t>dışlandığı, eğitimin zaten sorunlu olan niteliğinin daha da kötüleştiği</w:t>
      </w:r>
      <w:r>
        <w:rPr>
          <w:rFonts w:ascii="Calibri" w:hAnsi="Calibri"/>
        </w:rPr>
        <w:t>,</w:t>
      </w:r>
      <w:r w:rsidRPr="00840808">
        <w:rPr>
          <w:rFonts w:ascii="Calibri" w:hAnsi="Calibri"/>
        </w:rPr>
        <w:t xml:space="preserve"> öğretmenlerin esnek, güvencesiz ve angarya çalışmaya zorlandığı bir eğitim sisteminin </w:t>
      </w:r>
      <w:r>
        <w:rPr>
          <w:rFonts w:ascii="Calibri" w:hAnsi="Calibri"/>
        </w:rPr>
        <w:t>başarılı olması mümkün değildir.</w:t>
      </w:r>
    </w:p>
    <w:p w:rsidR="006D0F7D" w:rsidRPr="0041274F" w:rsidRDefault="006D0F7D" w:rsidP="006D0F7D">
      <w:pPr>
        <w:tabs>
          <w:tab w:val="num" w:pos="720"/>
        </w:tabs>
        <w:ind w:firstLine="426"/>
        <w:rPr>
          <w:sz w:val="24"/>
        </w:rPr>
      </w:pPr>
      <w:r w:rsidRPr="0041274F">
        <w:rPr>
          <w:bCs/>
          <w:sz w:val="24"/>
        </w:rPr>
        <w:t>Kamusal eğitim</w:t>
      </w:r>
      <w:r w:rsidRPr="0041274F">
        <w:rPr>
          <w:sz w:val="24"/>
        </w:rPr>
        <w:t xml:space="preserve">, </w:t>
      </w:r>
      <w:r w:rsidRPr="0041274F">
        <w:rPr>
          <w:bCs/>
          <w:sz w:val="24"/>
        </w:rPr>
        <w:t>siyasal iktidarın ve bir bütün olarak devlet</w:t>
      </w:r>
      <w:r>
        <w:rPr>
          <w:bCs/>
          <w:sz w:val="24"/>
        </w:rPr>
        <w:t xml:space="preserve">in ekonomik ve </w:t>
      </w:r>
      <w:r w:rsidRPr="0041274F">
        <w:rPr>
          <w:bCs/>
          <w:sz w:val="24"/>
        </w:rPr>
        <w:t>demokratik talepleri karşılaması</w:t>
      </w:r>
      <w:r w:rsidR="00694A20">
        <w:rPr>
          <w:bCs/>
          <w:sz w:val="24"/>
        </w:rPr>
        <w:t>nı,</w:t>
      </w:r>
      <w:r w:rsidRPr="0041274F">
        <w:rPr>
          <w:bCs/>
          <w:sz w:val="24"/>
        </w:rPr>
        <w:t xml:space="preserve"> eğitim hizmetinin herkes için eşit, parasız, nitelikli ve ulaşılabilir olması</w:t>
      </w:r>
      <w:r w:rsidRPr="0041274F">
        <w:rPr>
          <w:sz w:val="24"/>
        </w:rPr>
        <w:t xml:space="preserve">nı ifade eden bir kavramdır. </w:t>
      </w:r>
      <w:r>
        <w:rPr>
          <w:sz w:val="24"/>
        </w:rPr>
        <w:t>Bir ülkede herkesin eşit koşullarda yararlanabileceği bir e</w:t>
      </w:r>
      <w:r w:rsidRPr="0041274F">
        <w:rPr>
          <w:sz w:val="24"/>
        </w:rPr>
        <w:t>ğitim hakkın</w:t>
      </w:r>
      <w:r>
        <w:rPr>
          <w:sz w:val="24"/>
        </w:rPr>
        <w:t xml:space="preserve">dan </w:t>
      </w:r>
      <w:r w:rsidRPr="0041274F">
        <w:rPr>
          <w:sz w:val="24"/>
        </w:rPr>
        <w:t>bahsedebilmek için eğitimin fiziksel ve ekonomik yönden de erişilebilir olması gerekir</w:t>
      </w:r>
      <w:r>
        <w:rPr>
          <w:sz w:val="24"/>
        </w:rPr>
        <w:t xml:space="preserve">. </w:t>
      </w:r>
      <w:r w:rsidRPr="0041274F">
        <w:rPr>
          <w:sz w:val="24"/>
        </w:rPr>
        <w:t>Eğitime erişim hakkını düzenleyen her türlü ulusal/uluslararası yasa/sözleşme, devletlere bu hakkın ayrım yapılmaksızın sağlanması yükümlülüğünü getirmektedir.</w:t>
      </w:r>
      <w:r>
        <w:rPr>
          <w:sz w:val="24"/>
        </w:rPr>
        <w:t xml:space="preserve"> </w:t>
      </w:r>
    </w:p>
    <w:p w:rsidR="00844F46" w:rsidRPr="00B83D7F" w:rsidRDefault="00844F46" w:rsidP="00844F46">
      <w:pPr>
        <w:ind w:firstLine="426"/>
        <w:rPr>
          <w:sz w:val="24"/>
          <w:szCs w:val="24"/>
        </w:rPr>
      </w:pPr>
      <w:r w:rsidRPr="00AD77DE">
        <w:rPr>
          <w:rFonts w:ascii="Calibri" w:eastAsia="Times New Roman" w:hAnsi="Calibri" w:cs="Times New Roman"/>
          <w:sz w:val="24"/>
          <w:szCs w:val="24"/>
        </w:rPr>
        <w:t xml:space="preserve">Eğitim sisteminde </w:t>
      </w:r>
      <w:r>
        <w:rPr>
          <w:rFonts w:ascii="Calibri" w:eastAsia="Times New Roman" w:hAnsi="Calibri" w:cs="Times New Roman"/>
          <w:sz w:val="24"/>
          <w:szCs w:val="24"/>
        </w:rPr>
        <w:t xml:space="preserve">yaşanan sorunlar, elbette ülkedeki </w:t>
      </w:r>
      <w:r w:rsidRPr="00AD77DE">
        <w:rPr>
          <w:rFonts w:ascii="Calibri" w:hAnsi="Calibri"/>
          <w:sz w:val="24"/>
          <w:szCs w:val="24"/>
        </w:rPr>
        <w:t xml:space="preserve">ekonomik, </w:t>
      </w:r>
      <w:r w:rsidRPr="00AD77DE">
        <w:rPr>
          <w:rFonts w:ascii="Calibri" w:eastAsia="Times New Roman" w:hAnsi="Calibri" w:cs="Times New Roman"/>
          <w:sz w:val="24"/>
          <w:szCs w:val="24"/>
        </w:rPr>
        <w:t xml:space="preserve">toplumsal </w:t>
      </w:r>
      <w:r w:rsidRPr="00AD77DE">
        <w:rPr>
          <w:rFonts w:ascii="Calibri" w:hAnsi="Calibri"/>
          <w:sz w:val="24"/>
          <w:szCs w:val="24"/>
        </w:rPr>
        <w:t xml:space="preserve">ve siyasal </w:t>
      </w:r>
      <w:r>
        <w:rPr>
          <w:rFonts w:ascii="Calibri" w:hAnsi="Calibri"/>
          <w:sz w:val="24"/>
          <w:szCs w:val="24"/>
        </w:rPr>
        <w:t xml:space="preserve">alanda yaşanan </w:t>
      </w:r>
      <w:r w:rsidRPr="00AD77DE">
        <w:rPr>
          <w:rFonts w:ascii="Calibri" w:hAnsi="Calibri"/>
          <w:sz w:val="24"/>
          <w:szCs w:val="24"/>
        </w:rPr>
        <w:t>geliş</w:t>
      </w:r>
      <w:r>
        <w:rPr>
          <w:rFonts w:ascii="Calibri" w:hAnsi="Calibri"/>
          <w:sz w:val="24"/>
          <w:szCs w:val="24"/>
        </w:rPr>
        <w:t xml:space="preserve">melerden </w:t>
      </w:r>
      <w:r w:rsidRPr="00AD77DE">
        <w:rPr>
          <w:rFonts w:ascii="Calibri" w:hAnsi="Calibri"/>
          <w:sz w:val="24"/>
          <w:szCs w:val="24"/>
        </w:rPr>
        <w:t xml:space="preserve">ayrı </w:t>
      </w:r>
      <w:r>
        <w:rPr>
          <w:rFonts w:ascii="Calibri" w:hAnsi="Calibri"/>
          <w:sz w:val="24"/>
          <w:szCs w:val="24"/>
        </w:rPr>
        <w:t>ve bağımsız değildir.</w:t>
      </w:r>
      <w:r>
        <w:rPr>
          <w:rFonts w:ascii="Calibri" w:eastAsia="Times New Roman" w:hAnsi="Calibri" w:cs="Times New Roman"/>
          <w:sz w:val="24"/>
          <w:szCs w:val="24"/>
        </w:rPr>
        <w:t xml:space="preserve"> </w:t>
      </w:r>
      <w:r w:rsidRPr="00840808">
        <w:rPr>
          <w:sz w:val="24"/>
          <w:szCs w:val="24"/>
        </w:rPr>
        <w:t>Her geçen gün daha fazla piyasa ilişkileri içine çekilen, okul</w:t>
      </w:r>
      <w:r w:rsidR="00EA232C">
        <w:rPr>
          <w:sz w:val="24"/>
          <w:szCs w:val="24"/>
        </w:rPr>
        <w:t xml:space="preserve"> </w:t>
      </w:r>
      <w:r w:rsidRPr="00840808">
        <w:rPr>
          <w:sz w:val="24"/>
          <w:szCs w:val="24"/>
        </w:rPr>
        <w:t xml:space="preserve">öncesinden üniversiteye kadar bilimin </w:t>
      </w:r>
      <w:r>
        <w:rPr>
          <w:sz w:val="24"/>
          <w:szCs w:val="24"/>
        </w:rPr>
        <w:t xml:space="preserve">ve laikliğin </w:t>
      </w:r>
      <w:r w:rsidRPr="00840808">
        <w:rPr>
          <w:sz w:val="24"/>
          <w:szCs w:val="24"/>
        </w:rPr>
        <w:t xml:space="preserve">değil, </w:t>
      </w:r>
      <w:r>
        <w:rPr>
          <w:sz w:val="24"/>
          <w:szCs w:val="24"/>
        </w:rPr>
        <w:t xml:space="preserve">milliyetçiliğin, ayrımcılıkların ve inanç sömürüsünün </w:t>
      </w:r>
      <w:r w:rsidRPr="00840808">
        <w:rPr>
          <w:sz w:val="24"/>
          <w:szCs w:val="24"/>
        </w:rPr>
        <w:t>referans alındığı bir eğitim sisteminde</w:t>
      </w:r>
      <w:r>
        <w:rPr>
          <w:sz w:val="24"/>
          <w:szCs w:val="24"/>
        </w:rPr>
        <w:t xml:space="preserve"> eğitim ve bilim emekçileri</w:t>
      </w:r>
      <w:r w:rsidR="00566D9D">
        <w:rPr>
          <w:sz w:val="24"/>
          <w:szCs w:val="24"/>
        </w:rPr>
        <w:t xml:space="preserve"> olarak </w:t>
      </w:r>
      <w:r w:rsidRPr="00840808">
        <w:rPr>
          <w:sz w:val="24"/>
          <w:szCs w:val="24"/>
        </w:rPr>
        <w:t>kamusal, bilimsel, demokratik, laik ve anadilinde eğitim hakkı için mücadele</w:t>
      </w:r>
      <w:r>
        <w:rPr>
          <w:sz w:val="24"/>
          <w:szCs w:val="24"/>
        </w:rPr>
        <w:t xml:space="preserve">mizi </w:t>
      </w:r>
      <w:r w:rsidR="00D95744">
        <w:rPr>
          <w:sz w:val="24"/>
          <w:szCs w:val="24"/>
        </w:rPr>
        <w:t xml:space="preserve">sürdüreceğimiz bilinmelidir. </w:t>
      </w:r>
    </w:p>
    <w:p w:rsidR="00D20E0E" w:rsidRDefault="00D20E0E" w:rsidP="00A37E20">
      <w:pPr>
        <w:rPr>
          <w:rFonts w:cstheme="minorHAnsi"/>
          <w:b/>
          <w:color w:val="000000" w:themeColor="text1"/>
          <w:sz w:val="24"/>
          <w:szCs w:val="21"/>
          <w:shd w:val="clear" w:color="auto" w:fill="FFFFFF"/>
        </w:rPr>
      </w:pPr>
    </w:p>
    <w:sectPr w:rsidR="00D20E0E" w:rsidSect="00AB57AA">
      <w:footerReference w:type="default" r:id="rId12"/>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1E6" w:rsidRDefault="007921E6" w:rsidP="00047D84">
      <w:r>
        <w:separator/>
      </w:r>
    </w:p>
  </w:endnote>
  <w:endnote w:type="continuationSeparator" w:id="0">
    <w:p w:rsidR="007921E6" w:rsidRDefault="007921E6" w:rsidP="00047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3675515"/>
      <w:docPartObj>
        <w:docPartGallery w:val="Page Numbers (Bottom of Page)"/>
        <w:docPartUnique/>
      </w:docPartObj>
    </w:sdtPr>
    <w:sdtEndPr/>
    <w:sdtContent>
      <w:p w:rsidR="000323C4" w:rsidRDefault="000323C4">
        <w:pPr>
          <w:pStyle w:val="Altbilgi"/>
          <w:jc w:val="right"/>
        </w:pPr>
        <w:r>
          <w:fldChar w:fldCharType="begin"/>
        </w:r>
        <w:r>
          <w:instrText>PAGE   \* MERGEFORMAT</w:instrText>
        </w:r>
        <w:r>
          <w:fldChar w:fldCharType="separate"/>
        </w:r>
        <w:r w:rsidR="0075173E">
          <w:rPr>
            <w:noProof/>
          </w:rPr>
          <w:t>13</w:t>
        </w:r>
        <w:r>
          <w:fldChar w:fldCharType="end"/>
        </w:r>
      </w:p>
    </w:sdtContent>
  </w:sdt>
  <w:p w:rsidR="000323C4" w:rsidRDefault="000323C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1E6" w:rsidRDefault="007921E6" w:rsidP="00047D84">
      <w:r>
        <w:separator/>
      </w:r>
    </w:p>
  </w:footnote>
  <w:footnote w:type="continuationSeparator" w:id="0">
    <w:p w:rsidR="007921E6" w:rsidRDefault="007921E6" w:rsidP="00047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B2DE1"/>
    <w:multiLevelType w:val="hybridMultilevel"/>
    <w:tmpl w:val="89086E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CE4"/>
    <w:rsid w:val="00012AE1"/>
    <w:rsid w:val="000323C4"/>
    <w:rsid w:val="00047D84"/>
    <w:rsid w:val="00071405"/>
    <w:rsid w:val="00076C08"/>
    <w:rsid w:val="000C388A"/>
    <w:rsid w:val="00120DBD"/>
    <w:rsid w:val="00161400"/>
    <w:rsid w:val="001778F6"/>
    <w:rsid w:val="00197A86"/>
    <w:rsid w:val="001B0142"/>
    <w:rsid w:val="001D1847"/>
    <w:rsid w:val="001D192B"/>
    <w:rsid w:val="00215402"/>
    <w:rsid w:val="002339BF"/>
    <w:rsid w:val="002A53B0"/>
    <w:rsid w:val="002B79C6"/>
    <w:rsid w:val="002F35CF"/>
    <w:rsid w:val="0032207F"/>
    <w:rsid w:val="00326E23"/>
    <w:rsid w:val="003447C4"/>
    <w:rsid w:val="003461FD"/>
    <w:rsid w:val="003701EE"/>
    <w:rsid w:val="00376160"/>
    <w:rsid w:val="0038064D"/>
    <w:rsid w:val="003D6DD7"/>
    <w:rsid w:val="0048232F"/>
    <w:rsid w:val="00490432"/>
    <w:rsid w:val="004B3099"/>
    <w:rsid w:val="004C65D4"/>
    <w:rsid w:val="00506823"/>
    <w:rsid w:val="00537C36"/>
    <w:rsid w:val="0054230B"/>
    <w:rsid w:val="00566D9D"/>
    <w:rsid w:val="00586F9E"/>
    <w:rsid w:val="005B0180"/>
    <w:rsid w:val="005B6399"/>
    <w:rsid w:val="00613E25"/>
    <w:rsid w:val="006929B1"/>
    <w:rsid w:val="00694A20"/>
    <w:rsid w:val="006B4E2C"/>
    <w:rsid w:val="006D0F7D"/>
    <w:rsid w:val="006D2CC2"/>
    <w:rsid w:val="006D4DC1"/>
    <w:rsid w:val="006E4419"/>
    <w:rsid w:val="006E6C61"/>
    <w:rsid w:val="0075173E"/>
    <w:rsid w:val="007519FB"/>
    <w:rsid w:val="00764370"/>
    <w:rsid w:val="007921E6"/>
    <w:rsid w:val="0079649F"/>
    <w:rsid w:val="007A4317"/>
    <w:rsid w:val="0080153D"/>
    <w:rsid w:val="00804DA2"/>
    <w:rsid w:val="00820FA9"/>
    <w:rsid w:val="008372D0"/>
    <w:rsid w:val="00844F46"/>
    <w:rsid w:val="00880411"/>
    <w:rsid w:val="008D27BA"/>
    <w:rsid w:val="008F4B01"/>
    <w:rsid w:val="008F62EC"/>
    <w:rsid w:val="009D583D"/>
    <w:rsid w:val="009F2E35"/>
    <w:rsid w:val="00A01EEC"/>
    <w:rsid w:val="00A37E20"/>
    <w:rsid w:val="00A7017A"/>
    <w:rsid w:val="00AB57AA"/>
    <w:rsid w:val="00AD03E3"/>
    <w:rsid w:val="00AF0A45"/>
    <w:rsid w:val="00B130F6"/>
    <w:rsid w:val="00B41A63"/>
    <w:rsid w:val="00B438EF"/>
    <w:rsid w:val="00B659AC"/>
    <w:rsid w:val="00BA06E9"/>
    <w:rsid w:val="00BD3FD6"/>
    <w:rsid w:val="00C21D7B"/>
    <w:rsid w:val="00C30BDE"/>
    <w:rsid w:val="00C60AE4"/>
    <w:rsid w:val="00C76853"/>
    <w:rsid w:val="00C87B90"/>
    <w:rsid w:val="00C955F7"/>
    <w:rsid w:val="00C96B11"/>
    <w:rsid w:val="00C96F1D"/>
    <w:rsid w:val="00CA63AE"/>
    <w:rsid w:val="00CB5A1A"/>
    <w:rsid w:val="00CC733A"/>
    <w:rsid w:val="00CD0B7A"/>
    <w:rsid w:val="00CE7349"/>
    <w:rsid w:val="00D20E0E"/>
    <w:rsid w:val="00D35629"/>
    <w:rsid w:val="00D5052D"/>
    <w:rsid w:val="00D54F88"/>
    <w:rsid w:val="00D7503B"/>
    <w:rsid w:val="00D95744"/>
    <w:rsid w:val="00DB2F16"/>
    <w:rsid w:val="00E236FD"/>
    <w:rsid w:val="00EA232C"/>
    <w:rsid w:val="00EA4747"/>
    <w:rsid w:val="00EB0CE4"/>
    <w:rsid w:val="00F61C17"/>
    <w:rsid w:val="00FE30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642C1-2D4A-4B89-B87F-3CDDEE3E9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qFormat/>
    <w:rsid w:val="00D20E0E"/>
    <w:pPr>
      <w:keepNext/>
      <w:spacing w:before="240" w:after="60"/>
      <w:jc w:val="left"/>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B57AA"/>
    <w:pPr>
      <w:spacing w:before="100" w:beforeAutospacing="1" w:after="100" w:afterAutospacing="1"/>
      <w:jc w:val="left"/>
    </w:pPr>
    <w:rPr>
      <w:rFonts w:ascii="Times New Roman" w:eastAsia="Times New Roman" w:hAnsi="Times New Roman" w:cs="Times New Roman"/>
      <w:sz w:val="24"/>
      <w:szCs w:val="24"/>
      <w:lang w:eastAsia="tr-TR"/>
    </w:rPr>
  </w:style>
  <w:style w:type="paragraph" w:customStyle="1" w:styleId="ql-align-justify">
    <w:name w:val="ql-align-justify"/>
    <w:basedOn w:val="Normal"/>
    <w:rsid w:val="00AB57AA"/>
    <w:pPr>
      <w:spacing w:before="100" w:beforeAutospacing="1" w:after="100" w:afterAutospacing="1"/>
      <w:jc w:val="left"/>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B57AA"/>
    <w:rPr>
      <w:color w:val="0000FF"/>
      <w:u w:val="single"/>
    </w:rPr>
  </w:style>
  <w:style w:type="character" w:styleId="Vurgu">
    <w:name w:val="Emphasis"/>
    <w:basedOn w:val="VarsaylanParagrafYazTipi"/>
    <w:uiPriority w:val="20"/>
    <w:qFormat/>
    <w:rsid w:val="00C30BDE"/>
    <w:rPr>
      <w:i/>
      <w:iCs/>
    </w:rPr>
  </w:style>
  <w:style w:type="paragraph" w:styleId="ListeParagraf">
    <w:name w:val="List Paragraph"/>
    <w:basedOn w:val="Normal"/>
    <w:uiPriority w:val="34"/>
    <w:qFormat/>
    <w:rsid w:val="006B4E2C"/>
    <w:pPr>
      <w:spacing w:after="200" w:line="276" w:lineRule="auto"/>
      <w:ind w:left="720"/>
      <w:contextualSpacing/>
      <w:jc w:val="left"/>
    </w:pPr>
    <w:rPr>
      <w:rFonts w:eastAsiaTheme="minorEastAsia"/>
      <w:lang w:eastAsia="tr-TR"/>
    </w:rPr>
  </w:style>
  <w:style w:type="table" w:styleId="DzTablo2">
    <w:name w:val="Plain Table 2"/>
    <w:basedOn w:val="NormalTablo"/>
    <w:uiPriority w:val="42"/>
    <w:rsid w:val="008F62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Gl">
    <w:name w:val="Strong"/>
    <w:basedOn w:val="VarsaylanParagrafYazTipi"/>
    <w:uiPriority w:val="22"/>
    <w:qFormat/>
    <w:rsid w:val="00C87B90"/>
    <w:rPr>
      <w:b/>
      <w:bCs/>
    </w:rPr>
  </w:style>
  <w:style w:type="paragraph" w:styleId="GvdeMetni">
    <w:name w:val="Body Text"/>
    <w:basedOn w:val="Normal"/>
    <w:link w:val="GvdeMetniChar"/>
    <w:unhideWhenUsed/>
    <w:rsid w:val="00D20E0E"/>
    <w:pPr>
      <w:spacing w:after="120"/>
    </w:pPr>
  </w:style>
  <w:style w:type="character" w:customStyle="1" w:styleId="GvdeMetniChar">
    <w:name w:val="Gövde Metni Char"/>
    <w:basedOn w:val="VarsaylanParagrafYazTipi"/>
    <w:link w:val="GvdeMetni"/>
    <w:rsid w:val="00D20E0E"/>
  </w:style>
  <w:style w:type="character" w:customStyle="1" w:styleId="Balk2Char">
    <w:name w:val="Başlık 2 Char"/>
    <w:basedOn w:val="VarsaylanParagrafYazTipi"/>
    <w:link w:val="Balk2"/>
    <w:rsid w:val="00D20E0E"/>
    <w:rPr>
      <w:rFonts w:ascii="Arial" w:eastAsia="Times New Roman" w:hAnsi="Arial" w:cs="Arial"/>
      <w:b/>
      <w:bCs/>
      <w:i/>
      <w:iCs/>
      <w:sz w:val="28"/>
      <w:szCs w:val="28"/>
      <w:lang w:eastAsia="tr-TR"/>
    </w:rPr>
  </w:style>
  <w:style w:type="paragraph" w:styleId="AralkYok">
    <w:name w:val="No Spacing"/>
    <w:uiPriority w:val="1"/>
    <w:qFormat/>
    <w:rsid w:val="004C65D4"/>
    <w:pPr>
      <w:jc w:val="left"/>
    </w:pPr>
  </w:style>
  <w:style w:type="paragraph" w:customStyle="1" w:styleId="Default">
    <w:name w:val="Default"/>
    <w:rsid w:val="00C96F1D"/>
    <w:pPr>
      <w:autoSpaceDE w:val="0"/>
      <w:autoSpaceDN w:val="0"/>
      <w:adjustRightInd w:val="0"/>
      <w:jc w:val="left"/>
    </w:pPr>
    <w:rPr>
      <w:rFonts w:ascii="Times New Roman" w:hAnsi="Times New Roman" w:cs="Times New Roman"/>
      <w:color w:val="000000"/>
      <w:sz w:val="24"/>
      <w:szCs w:val="24"/>
    </w:rPr>
  </w:style>
  <w:style w:type="table" w:styleId="ListeTablo3-Vurgu2">
    <w:name w:val="List Table 3 Accent 2"/>
    <w:basedOn w:val="NormalTablo"/>
    <w:uiPriority w:val="48"/>
    <w:rsid w:val="00AD03E3"/>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KlavuzuTablo4-Vurgu2">
    <w:name w:val="Grid Table 4 Accent 2"/>
    <w:basedOn w:val="NormalTablo"/>
    <w:uiPriority w:val="49"/>
    <w:rsid w:val="00AD03E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GvdeMetniGirintisi">
    <w:name w:val="Body Text Indent"/>
    <w:basedOn w:val="Normal"/>
    <w:link w:val="GvdeMetniGirintisiChar"/>
    <w:uiPriority w:val="99"/>
    <w:unhideWhenUsed/>
    <w:rsid w:val="00047D84"/>
    <w:pPr>
      <w:spacing w:after="120" w:line="276" w:lineRule="auto"/>
      <w:ind w:left="283"/>
      <w:jc w:val="left"/>
    </w:pPr>
    <w:rPr>
      <w:rFonts w:ascii="Calibri" w:eastAsia="Times New Roman" w:hAnsi="Calibri" w:cs="Times New Roman"/>
      <w:lang w:eastAsia="tr-TR"/>
    </w:rPr>
  </w:style>
  <w:style w:type="character" w:customStyle="1" w:styleId="GvdeMetniGirintisiChar">
    <w:name w:val="Gövde Metni Girintisi Char"/>
    <w:basedOn w:val="VarsaylanParagrafYazTipi"/>
    <w:link w:val="GvdeMetniGirintisi"/>
    <w:uiPriority w:val="99"/>
    <w:rsid w:val="00047D84"/>
    <w:rPr>
      <w:rFonts w:ascii="Calibri" w:eastAsia="Times New Roman" w:hAnsi="Calibri" w:cs="Times New Roman"/>
      <w:lang w:eastAsia="tr-TR"/>
    </w:rPr>
  </w:style>
  <w:style w:type="paragraph" w:styleId="DipnotMetni">
    <w:name w:val="footnote text"/>
    <w:basedOn w:val="Normal"/>
    <w:link w:val="DipnotMetniChar"/>
    <w:uiPriority w:val="99"/>
    <w:semiHidden/>
    <w:unhideWhenUsed/>
    <w:rsid w:val="00047D84"/>
    <w:pPr>
      <w:jc w:val="left"/>
    </w:pPr>
    <w:rPr>
      <w:rFonts w:ascii="Calibri" w:eastAsia="Times New Roman" w:hAnsi="Calibri" w:cs="Times New Roman"/>
      <w:sz w:val="20"/>
      <w:szCs w:val="20"/>
      <w:lang w:eastAsia="tr-TR"/>
    </w:rPr>
  </w:style>
  <w:style w:type="character" w:customStyle="1" w:styleId="DipnotMetniChar">
    <w:name w:val="Dipnot Metni Char"/>
    <w:basedOn w:val="VarsaylanParagrafYazTipi"/>
    <w:link w:val="DipnotMetni"/>
    <w:uiPriority w:val="99"/>
    <w:semiHidden/>
    <w:rsid w:val="00047D84"/>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047D84"/>
    <w:rPr>
      <w:vertAlign w:val="superscript"/>
    </w:rPr>
  </w:style>
  <w:style w:type="paragraph" w:styleId="stbilgi">
    <w:name w:val="header"/>
    <w:basedOn w:val="Normal"/>
    <w:link w:val="stbilgiChar"/>
    <w:uiPriority w:val="99"/>
    <w:unhideWhenUsed/>
    <w:rsid w:val="00FE3087"/>
    <w:pPr>
      <w:tabs>
        <w:tab w:val="center" w:pos="4536"/>
        <w:tab w:val="right" w:pos="9072"/>
      </w:tabs>
    </w:pPr>
  </w:style>
  <w:style w:type="character" w:customStyle="1" w:styleId="stbilgiChar">
    <w:name w:val="Üstbilgi Char"/>
    <w:basedOn w:val="VarsaylanParagrafYazTipi"/>
    <w:link w:val="stbilgi"/>
    <w:uiPriority w:val="99"/>
    <w:rsid w:val="00FE3087"/>
  </w:style>
  <w:style w:type="paragraph" w:styleId="Altbilgi">
    <w:name w:val="footer"/>
    <w:basedOn w:val="Normal"/>
    <w:link w:val="AltbilgiChar"/>
    <w:uiPriority w:val="99"/>
    <w:unhideWhenUsed/>
    <w:rsid w:val="00FE3087"/>
    <w:pPr>
      <w:tabs>
        <w:tab w:val="center" w:pos="4536"/>
        <w:tab w:val="right" w:pos="9072"/>
      </w:tabs>
    </w:pPr>
  </w:style>
  <w:style w:type="character" w:customStyle="1" w:styleId="AltbilgiChar">
    <w:name w:val="Altbilgi Char"/>
    <w:basedOn w:val="VarsaylanParagrafYazTipi"/>
    <w:link w:val="Altbilgi"/>
    <w:uiPriority w:val="99"/>
    <w:rsid w:val="00FE3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790331">
      <w:bodyDiv w:val="1"/>
      <w:marLeft w:val="0"/>
      <w:marRight w:val="0"/>
      <w:marTop w:val="0"/>
      <w:marBottom w:val="0"/>
      <w:divBdr>
        <w:top w:val="none" w:sz="0" w:space="0" w:color="auto"/>
        <w:left w:val="none" w:sz="0" w:space="0" w:color="auto"/>
        <w:bottom w:val="none" w:sz="0" w:space="0" w:color="auto"/>
        <w:right w:val="none" w:sz="0" w:space="0" w:color="auto"/>
      </w:divBdr>
    </w:div>
    <w:div w:id="1413700846">
      <w:bodyDiv w:val="1"/>
      <w:marLeft w:val="0"/>
      <w:marRight w:val="0"/>
      <w:marTop w:val="0"/>
      <w:marBottom w:val="0"/>
      <w:divBdr>
        <w:top w:val="none" w:sz="0" w:space="0" w:color="auto"/>
        <w:left w:val="none" w:sz="0" w:space="0" w:color="auto"/>
        <w:bottom w:val="none" w:sz="0" w:space="0" w:color="auto"/>
        <w:right w:val="none" w:sz="0" w:space="0" w:color="auto"/>
      </w:divBdr>
    </w:div>
    <w:div w:id="1459833755">
      <w:bodyDiv w:val="1"/>
      <w:marLeft w:val="0"/>
      <w:marRight w:val="0"/>
      <w:marTop w:val="0"/>
      <w:marBottom w:val="0"/>
      <w:divBdr>
        <w:top w:val="none" w:sz="0" w:space="0" w:color="auto"/>
        <w:left w:val="none" w:sz="0" w:space="0" w:color="auto"/>
        <w:bottom w:val="none" w:sz="0" w:space="0" w:color="auto"/>
        <w:right w:val="none" w:sz="0" w:space="0" w:color="auto"/>
      </w:divBdr>
    </w:div>
    <w:div w:id="214087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3.xlsx"/><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4.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r>
              <a:rPr lang="en-US" sz="1400">
                <a:solidFill>
                  <a:sysClr val="windowText" lastClr="000000"/>
                </a:solidFill>
              </a:rPr>
              <a:t>Özel Okul</a:t>
            </a:r>
            <a:r>
              <a:rPr lang="tr-TR" sz="1400">
                <a:solidFill>
                  <a:sysClr val="windowText" lastClr="000000"/>
                </a:solidFill>
              </a:rPr>
              <a:t>ların Gelişimi</a:t>
            </a:r>
            <a:endParaRPr lang="en-US" sz="14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mn-lt"/>
              <a:ea typeface="+mn-ea"/>
              <a:cs typeface="+mn-cs"/>
            </a:defRPr>
          </a:pPr>
          <a:endParaRPr lang="tr-TR"/>
        </a:p>
      </c:txPr>
    </c:title>
    <c:autoTitleDeleted val="0"/>
    <c:plotArea>
      <c:layout/>
      <c:lineChart>
        <c:grouping val="standard"/>
        <c:varyColors val="0"/>
        <c:ser>
          <c:idx val="0"/>
          <c:order val="0"/>
          <c:tx>
            <c:strRef>
              <c:f>Sayfa1!$B$1</c:f>
              <c:strCache>
                <c:ptCount val="1"/>
                <c:pt idx="0">
                  <c:v>Özel Okulda Okuyan Öğrencilerin Oranı</c:v>
                </c:pt>
              </c:strCache>
            </c:strRef>
          </c:tx>
          <c:spPr>
            <a:ln w="31750" cap="rnd">
              <a:solidFill>
                <a:schemeClr val="accent2"/>
              </a:solidFill>
              <a:round/>
            </a:ln>
            <a:effectLst/>
          </c:spPr>
          <c:marker>
            <c:symbol val="circle"/>
            <c:size val="17"/>
            <c:spPr>
              <a:solidFill>
                <a:schemeClr val="accent2"/>
              </a:solidFill>
              <a:ln>
                <a:noFill/>
              </a:ln>
              <a:effectLst/>
            </c:spPr>
          </c:marker>
          <c:dLbls>
            <c:dLbl>
              <c:idx val="14"/>
              <c:spPr>
                <a:noFill/>
                <a:ln>
                  <a:noFill/>
                </a:ln>
                <a:effectLst/>
              </c:spPr>
              <c:txPr>
                <a:bodyPr rot="0" spcFirstLastPara="1" vertOverflow="ellipsis" horzOverflow="clip"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tr-TR"/>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149-4911-996D-C9EB94D22F4A}"/>
                </c:ext>
                <c:ext xmlns:c15="http://schemas.microsoft.com/office/drawing/2012/chart" uri="{CE6537A1-D6FC-4f65-9D91-7224C49458BB}">
                  <c15:spPr xmlns:c15="http://schemas.microsoft.com/office/drawing/2012/chart">
                    <a:prstGeom prst="rect">
                      <a:avLst/>
                    </a:prstGeom>
                    <a:noFill/>
                    <a:ln>
                      <a:noFill/>
                    </a:ln>
                  </c15:spPr>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tr-TR"/>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Sayfa1!$A$2:$A$16</c:f>
              <c:numCache>
                <c:formatCode>General</c:formatCode>
                <c:ptCount val="15"/>
                <c:pt idx="0">
                  <c:v>2003</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numCache>
            </c:numRef>
          </c:cat>
          <c:val>
            <c:numRef>
              <c:f>Sayfa1!$B$2:$B$16</c:f>
              <c:numCache>
                <c:formatCode>General</c:formatCode>
                <c:ptCount val="15"/>
                <c:pt idx="0">
                  <c:v>1.9</c:v>
                </c:pt>
                <c:pt idx="1">
                  <c:v>2.5299999999999998</c:v>
                </c:pt>
                <c:pt idx="2">
                  <c:v>2.73</c:v>
                </c:pt>
                <c:pt idx="3">
                  <c:v>2.92</c:v>
                </c:pt>
                <c:pt idx="4">
                  <c:v>3.02</c:v>
                </c:pt>
                <c:pt idx="5">
                  <c:v>3.18</c:v>
                </c:pt>
                <c:pt idx="6">
                  <c:v>3.49</c:v>
                </c:pt>
                <c:pt idx="7">
                  <c:v>3.87</c:v>
                </c:pt>
                <c:pt idx="8">
                  <c:v>4.3899999999999997</c:v>
                </c:pt>
                <c:pt idx="9">
                  <c:v>5.22</c:v>
                </c:pt>
                <c:pt idx="10">
                  <c:v>7.47</c:v>
                </c:pt>
                <c:pt idx="11">
                  <c:v>7.64</c:v>
                </c:pt>
                <c:pt idx="12">
                  <c:v>8.2899999999999991</c:v>
                </c:pt>
                <c:pt idx="13">
                  <c:v>8.7200000000000006</c:v>
                </c:pt>
                <c:pt idx="14">
                  <c:v>8.81</c:v>
                </c:pt>
              </c:numCache>
            </c:numRef>
          </c:val>
          <c:smooth val="0"/>
          <c:extLst xmlns:c16r2="http://schemas.microsoft.com/office/drawing/2015/06/chart">
            <c:ext xmlns:c16="http://schemas.microsoft.com/office/drawing/2014/chart" uri="{C3380CC4-5D6E-409C-BE32-E72D297353CC}">
              <c16:uniqueId val="{00000001-8149-4911-996D-C9EB94D22F4A}"/>
            </c:ext>
          </c:extLst>
        </c:ser>
        <c:dLbls>
          <c:dLblPos val="ctr"/>
          <c:showLegendKey val="0"/>
          <c:showVal val="1"/>
          <c:showCatName val="0"/>
          <c:showSerName val="0"/>
          <c:showPercent val="0"/>
          <c:showBubbleSize val="0"/>
        </c:dLbls>
        <c:marker val="1"/>
        <c:smooth val="0"/>
        <c:axId val="331146128"/>
        <c:axId val="331150440"/>
      </c:lineChart>
      <c:catAx>
        <c:axId val="3311461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ysClr val="windowText" lastClr="000000"/>
                </a:solidFill>
                <a:latin typeface="+mn-lt"/>
                <a:ea typeface="+mn-ea"/>
                <a:cs typeface="+mn-cs"/>
              </a:defRPr>
            </a:pPr>
            <a:endParaRPr lang="tr-TR"/>
          </a:p>
        </c:txPr>
        <c:crossAx val="331150440"/>
        <c:crosses val="autoZero"/>
        <c:auto val="1"/>
        <c:lblAlgn val="ctr"/>
        <c:lblOffset val="100"/>
        <c:noMultiLvlLbl val="0"/>
      </c:catAx>
      <c:valAx>
        <c:axId val="3311504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3311461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tr-T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396" b="1" i="0" u="none" strike="noStrike" kern="1200" spc="0" baseline="0">
                <a:solidFill>
                  <a:schemeClr val="tx1"/>
                </a:solidFill>
                <a:latin typeface="+mn-lt"/>
                <a:ea typeface="+mn-ea"/>
                <a:cs typeface="+mn-cs"/>
              </a:defRPr>
            </a:pPr>
            <a:r>
              <a:rPr lang="tr-TR" b="1">
                <a:solidFill>
                  <a:schemeClr val="tx1"/>
                </a:solidFill>
              </a:rPr>
              <a:t>MEB Bütçe Payları ve Milli Gelire Oranı</a:t>
            </a:r>
          </a:p>
        </c:rich>
      </c:tx>
      <c:layout>
        <c:manualLayout>
          <c:xMode val="edge"/>
          <c:yMode val="edge"/>
          <c:x val="0.25740847297933911"/>
          <c:y val="2.3809477803004686E-2"/>
        </c:manualLayout>
      </c:layout>
      <c:overlay val="0"/>
      <c:spPr>
        <a:noFill/>
        <a:ln w="25320">
          <a:noFill/>
        </a:ln>
      </c:spPr>
    </c:title>
    <c:autoTitleDeleted val="0"/>
    <c:plotArea>
      <c:layout/>
      <c:barChart>
        <c:barDir val="col"/>
        <c:grouping val="clustered"/>
        <c:varyColors val="0"/>
        <c:ser>
          <c:idx val="0"/>
          <c:order val="0"/>
          <c:tx>
            <c:strRef>
              <c:f>Sayfa1!$B$1</c:f>
              <c:strCache>
                <c:ptCount val="1"/>
                <c:pt idx="0">
                  <c:v>MEB/Merkezi Bütçe</c:v>
                </c:pt>
              </c:strCache>
            </c:strRef>
          </c:tx>
          <c:spPr>
            <a:solidFill>
              <a:schemeClr val="accent2">
                <a:tint val="65000"/>
              </a:schemeClr>
            </a:solidFill>
            <a:ln>
              <a:noFill/>
            </a:ln>
            <a:effectLst/>
          </c:spPr>
          <c:invertIfNegative val="0"/>
          <c:dLbls>
            <c:dLbl>
              <c:idx val="19"/>
              <c:layout>
                <c:manualLayout>
                  <c:x val="0"/>
                  <c:y val="2.2588330304865692E-2"/>
                </c:manualLayout>
              </c:layout>
              <c:tx>
                <c:rich>
                  <a:bodyPr rot="0" spcFirstLastPara="1" vertOverflow="ellipsis" vert="horz" wrap="square" lIns="38100" tIns="19050" rIns="38100" bIns="19050" anchor="ctr" anchorCtr="1">
                    <a:spAutoFit/>
                  </a:bodyPr>
                  <a:lstStyle/>
                  <a:p>
                    <a:pPr>
                      <a:defRPr sz="897" b="1" i="0" u="none" strike="noStrike" kern="1200" baseline="0">
                        <a:solidFill>
                          <a:sysClr val="windowText" lastClr="000000"/>
                        </a:solidFill>
                        <a:latin typeface="+mn-lt"/>
                        <a:ea typeface="+mn-ea"/>
                        <a:cs typeface="+mn-cs"/>
                      </a:defRPr>
                    </a:pPr>
                    <a:r>
                      <a:rPr lang="en-US"/>
                      <a:t>10,91</a:t>
                    </a:r>
                  </a:p>
                </c:rich>
              </c:tx>
              <c:spPr>
                <a:noFill/>
                <a:ln w="25320">
                  <a:noFill/>
                </a:ln>
              </c:sp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FFB-42E2-A4B2-E4A74A794F52}"/>
                </c:ext>
                <c:ext xmlns:c15="http://schemas.microsoft.com/office/drawing/2012/chart" uri="{CE6537A1-D6FC-4f65-9D91-7224C49458BB}"/>
              </c:extLst>
            </c:dLbl>
            <c:spPr>
              <a:noFill/>
              <a:ln w="25320">
                <a:noFill/>
              </a:ln>
            </c:spPr>
            <c:txPr>
              <a:bodyPr rot="0" spcFirstLastPara="1" vertOverflow="ellipsis" vert="horz" wrap="square" lIns="38100" tIns="19050" rIns="38100" bIns="19050" anchor="ctr" anchorCtr="1">
                <a:spAutoFit/>
              </a:bodyPr>
              <a:lstStyle/>
              <a:p>
                <a:pPr>
                  <a:defRPr sz="897" b="1"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Sayfa1!$A$2:$A$21</c:f>
              <c:numCache>
                <c:formatCode>General</c:formatCod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numCache>
            </c:numRef>
          </c:cat>
          <c:val>
            <c:numRef>
              <c:f>Sayfa1!$B$2:$B$21</c:f>
              <c:numCache>
                <c:formatCode>General</c:formatCode>
                <c:ptCount val="20"/>
                <c:pt idx="0">
                  <c:v>7.6</c:v>
                </c:pt>
                <c:pt idx="1">
                  <c:v>6.91</c:v>
                </c:pt>
                <c:pt idx="2">
                  <c:v>8.2100000000000009</c:v>
                </c:pt>
                <c:pt idx="3">
                  <c:v>9.5</c:v>
                </c:pt>
                <c:pt idx="4">
                  <c:v>9.4700000000000006</c:v>
                </c:pt>
                <c:pt idx="5">
                  <c:v>10.42</c:v>
                </c:pt>
                <c:pt idx="6">
                  <c:v>10.3</c:v>
                </c:pt>
                <c:pt idx="7">
                  <c:v>10.47</c:v>
                </c:pt>
                <c:pt idx="8">
                  <c:v>9.84</c:v>
                </c:pt>
                <c:pt idx="9">
                  <c:v>10.91</c:v>
                </c:pt>
                <c:pt idx="10">
                  <c:v>11.16</c:v>
                </c:pt>
                <c:pt idx="11">
                  <c:v>11.76</c:v>
                </c:pt>
                <c:pt idx="12">
                  <c:v>12.81</c:v>
                </c:pt>
                <c:pt idx="13">
                  <c:v>13.11</c:v>
                </c:pt>
                <c:pt idx="14">
                  <c:v>13.38</c:v>
                </c:pt>
                <c:pt idx="15">
                  <c:v>13.18</c:v>
                </c:pt>
                <c:pt idx="16">
                  <c:v>12.13</c:v>
                </c:pt>
                <c:pt idx="17">
                  <c:v>11.84</c:v>
                </c:pt>
                <c:pt idx="18">
                  <c:v>11.45</c:v>
                </c:pt>
                <c:pt idx="19">
                  <c:v>10.69</c:v>
                </c:pt>
              </c:numCache>
            </c:numRef>
          </c:val>
          <c:extLst xmlns:c16r2="http://schemas.microsoft.com/office/drawing/2015/06/chart">
            <c:ext xmlns:c16="http://schemas.microsoft.com/office/drawing/2014/chart" uri="{C3380CC4-5D6E-409C-BE32-E72D297353CC}">
              <c16:uniqueId val="{00000001-2FFB-42E2-A4B2-E4A74A794F52}"/>
            </c:ext>
          </c:extLst>
        </c:ser>
        <c:ser>
          <c:idx val="1"/>
          <c:order val="1"/>
          <c:tx>
            <c:strRef>
              <c:f>Sayfa1!$C$1</c:f>
              <c:strCache>
                <c:ptCount val="1"/>
                <c:pt idx="0">
                  <c:v>MEB/GSYH</c:v>
                </c:pt>
              </c:strCache>
            </c:strRef>
          </c:tx>
          <c:spPr>
            <a:solidFill>
              <a:srgbClr val="ED7D31"/>
            </a:solidFill>
            <a:ln w="25320">
              <a:noFill/>
            </a:ln>
          </c:spPr>
          <c:invertIfNegative val="0"/>
          <c:dLbls>
            <c:dLbl>
              <c:idx val="0"/>
              <c:layout>
                <c:manualLayout>
                  <c:x val="1.4721345951629864E-2"/>
                  <c:y val="7.936507936507936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FFB-42E2-A4B2-E4A74A794F52}"/>
                </c:ext>
                <c:ext xmlns:c15="http://schemas.microsoft.com/office/drawing/2012/chart" uri="{CE6537A1-D6FC-4f65-9D91-7224C49458BB}"/>
              </c:extLst>
            </c:dLbl>
            <c:dLbl>
              <c:idx val="1"/>
              <c:layout>
                <c:manualLayout>
                  <c:x val="1.0515247108307046E-2"/>
                  <c:y val="1.190476190476190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FFB-42E2-A4B2-E4A74A794F52}"/>
                </c:ext>
                <c:ext xmlns:c15="http://schemas.microsoft.com/office/drawing/2012/chart" uri="{CE6537A1-D6FC-4f65-9D91-7224C49458BB}"/>
              </c:extLst>
            </c:dLbl>
            <c:dLbl>
              <c:idx val="2"/>
              <c:layout>
                <c:manualLayout>
                  <c:x val="1.2618296529968454E-2"/>
                  <c:y val="3.9682539682539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FFB-42E2-A4B2-E4A74A794F52}"/>
                </c:ext>
                <c:ext xmlns:c15="http://schemas.microsoft.com/office/drawing/2012/chart" uri="{CE6537A1-D6FC-4f65-9D91-7224C49458BB}"/>
              </c:extLst>
            </c:dLbl>
            <c:dLbl>
              <c:idx val="3"/>
              <c:layout>
                <c:manualLayout>
                  <c:x val="1.2618296529968454E-2"/>
                  <c:y val="3.9682539682539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FFB-42E2-A4B2-E4A74A794F52}"/>
                </c:ext>
                <c:ext xmlns:c15="http://schemas.microsoft.com/office/drawing/2012/chart" uri="{CE6537A1-D6FC-4f65-9D91-7224C49458BB}"/>
              </c:extLst>
            </c:dLbl>
            <c:dLbl>
              <c:idx val="4"/>
              <c:layout>
                <c:manualLayout>
                  <c:x val="1.0515247108307006E-2"/>
                  <c:y val="7.936507936507936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FFB-42E2-A4B2-E4A74A794F52}"/>
                </c:ext>
                <c:ext xmlns:c15="http://schemas.microsoft.com/office/drawing/2012/chart" uri="{CE6537A1-D6FC-4f65-9D91-7224C49458BB}"/>
              </c:extLst>
            </c:dLbl>
            <c:dLbl>
              <c:idx val="5"/>
              <c:layout>
                <c:manualLayout>
                  <c:x val="1.0515247108307046E-2"/>
                  <c:y val="-7.275048233154282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FFB-42E2-A4B2-E4A74A794F52}"/>
                </c:ext>
                <c:ext xmlns:c15="http://schemas.microsoft.com/office/drawing/2012/chart" uri="{CE6537A1-D6FC-4f65-9D91-7224C49458BB}"/>
              </c:extLst>
            </c:dLbl>
            <c:dLbl>
              <c:idx val="6"/>
              <c:layout>
                <c:manualLayout>
                  <c:x val="1.0515247108307046E-2"/>
                  <c:y val="3.968253968253968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FFB-42E2-A4B2-E4A74A794F52}"/>
                </c:ext>
                <c:ext xmlns:c15="http://schemas.microsoft.com/office/drawing/2012/chart" uri="{CE6537A1-D6FC-4f65-9D91-7224C49458BB}"/>
              </c:extLst>
            </c:dLbl>
            <c:dLbl>
              <c:idx val="7"/>
              <c:layout>
                <c:manualLayout>
                  <c:x val="8.4121976866456359E-3"/>
                  <c:y val="1.190476190476183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FFB-42E2-A4B2-E4A74A794F52}"/>
                </c:ext>
                <c:ext xmlns:c15="http://schemas.microsoft.com/office/drawing/2012/chart" uri="{CE6537A1-D6FC-4f65-9D91-7224C49458BB}"/>
              </c:extLst>
            </c:dLbl>
            <c:dLbl>
              <c:idx val="8"/>
              <c:layout>
                <c:manualLayout>
                  <c:x val="8.4121976866455596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FFB-42E2-A4B2-E4A74A794F52}"/>
                </c:ext>
                <c:ext xmlns:c15="http://schemas.microsoft.com/office/drawing/2012/chart" uri="{CE6537A1-D6FC-4f65-9D91-7224C49458BB}"/>
              </c:extLst>
            </c:dLbl>
            <c:dLbl>
              <c:idx val="9"/>
              <c:layout>
                <c:manualLayout>
                  <c:x val="1.0515247108307046E-2"/>
                  <c:y val="-7.275048233154282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FFB-42E2-A4B2-E4A74A794F52}"/>
                </c:ext>
                <c:ext xmlns:c15="http://schemas.microsoft.com/office/drawing/2012/chart" uri="{CE6537A1-D6FC-4f65-9D91-7224C49458BB}"/>
              </c:extLst>
            </c:dLbl>
            <c:dLbl>
              <c:idx val="10"/>
              <c:layout>
                <c:manualLayout>
                  <c:x val="8.4121976866456359E-3"/>
                  <c:y val="0"/>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FFB-42E2-A4B2-E4A74A794F52}"/>
                </c:ext>
                <c:ext xmlns:c15="http://schemas.microsoft.com/office/drawing/2012/chart" uri="{CE6537A1-D6FC-4f65-9D91-7224C49458BB}"/>
              </c:extLst>
            </c:dLbl>
            <c:dLbl>
              <c:idx val="11"/>
              <c:layout>
                <c:manualLayout>
                  <c:x val="8.4121976866455596E-3"/>
                  <c:y val="7.9365079365079361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FFB-42E2-A4B2-E4A74A794F52}"/>
                </c:ext>
                <c:ext xmlns:c15="http://schemas.microsoft.com/office/drawing/2012/chart" uri="{CE6537A1-D6FC-4f65-9D91-7224C49458BB}"/>
              </c:extLst>
            </c:dLbl>
            <c:dLbl>
              <c:idx val="12"/>
              <c:layout>
                <c:manualLayout>
                  <c:x val="1.2618296529968454E-2"/>
                  <c:y val="1.190476190476183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2FFB-42E2-A4B2-E4A74A794F52}"/>
                </c:ext>
                <c:ext xmlns:c15="http://schemas.microsoft.com/office/drawing/2012/chart" uri="{CE6537A1-D6FC-4f65-9D91-7224C49458BB}"/>
              </c:extLst>
            </c:dLbl>
            <c:dLbl>
              <c:idx val="13"/>
              <c:layout>
                <c:manualLayout>
                  <c:x val="8.4121976866456359E-3"/>
                  <c:y val="-7.275048233154282E-1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2FFB-42E2-A4B2-E4A74A794F52}"/>
                </c:ext>
                <c:ext xmlns:c15="http://schemas.microsoft.com/office/drawing/2012/chart" uri="{CE6537A1-D6FC-4f65-9D91-7224C49458BB}"/>
              </c:extLst>
            </c:dLbl>
            <c:dLbl>
              <c:idx val="14"/>
              <c:layout>
                <c:manualLayout>
                  <c:x val="8.4121976866456359E-3"/>
                  <c:y val="7.936507936507863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2FFB-42E2-A4B2-E4A74A794F52}"/>
                </c:ext>
                <c:ext xmlns:c15="http://schemas.microsoft.com/office/drawing/2012/chart" uri="{CE6537A1-D6FC-4f65-9D91-7224C49458BB}"/>
              </c:extLst>
            </c:dLbl>
            <c:dLbl>
              <c:idx val="15"/>
              <c:layout>
                <c:manualLayout>
                  <c:x val="1.0515247108307046E-2"/>
                  <c:y val="7.936507936507863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2FFB-42E2-A4B2-E4A74A794F52}"/>
                </c:ext>
                <c:ext xmlns:c15="http://schemas.microsoft.com/office/drawing/2012/chart" uri="{CE6537A1-D6FC-4f65-9D91-7224C49458BB}"/>
              </c:extLst>
            </c:dLbl>
            <c:dLbl>
              <c:idx val="16"/>
              <c:layout>
                <c:manualLayout>
                  <c:x val="1.0515247108307046E-2"/>
                  <c:y val="7.9365079365078632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2FFB-42E2-A4B2-E4A74A794F52}"/>
                </c:ext>
                <c:ext xmlns:c15="http://schemas.microsoft.com/office/drawing/2012/chart" uri="{CE6537A1-D6FC-4f65-9D91-7224C49458BB}"/>
              </c:extLst>
            </c:dLbl>
            <c:dLbl>
              <c:idx val="17"/>
              <c:layout>
                <c:manualLayout>
                  <c:x val="1.4721345951629864E-2"/>
                  <c:y val="1.5873015873015872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2FFB-42E2-A4B2-E4A74A794F52}"/>
                </c:ext>
                <c:ext xmlns:c15="http://schemas.microsoft.com/office/drawing/2012/chart" uri="{CE6537A1-D6FC-4f65-9D91-7224C49458BB}"/>
              </c:extLst>
            </c:dLbl>
            <c:dLbl>
              <c:idx val="18"/>
              <c:layout>
                <c:manualLayout>
                  <c:x val="1.2618296529968454E-2"/>
                  <c:y val="1.190476190476183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2FFB-42E2-A4B2-E4A74A794F52}"/>
                </c:ext>
                <c:ext xmlns:c15="http://schemas.microsoft.com/office/drawing/2012/chart" uri="{CE6537A1-D6FC-4f65-9D91-7224C49458BB}"/>
              </c:extLst>
            </c:dLbl>
            <c:dLbl>
              <c:idx val="19"/>
              <c:layout>
                <c:manualLayout>
                  <c:x val="8.4121377160644474E-3"/>
                  <c:y val="1.6788670646938363E-2"/>
                </c:manualLayout>
              </c:layout>
              <c:spPr>
                <a:noFill/>
                <a:ln w="25320">
                  <a:noFill/>
                </a:ln>
              </c:spPr>
              <c:txPr>
                <a:bodyPr rot="0" spcFirstLastPara="1" vertOverflow="ellipsis" vert="horz" wrap="square" lIns="38100" tIns="19050" rIns="38100" bIns="19050" anchor="ctr" anchorCtr="1">
                  <a:spAutoFit/>
                </a:bodyPr>
                <a:lstStyle/>
                <a:p>
                  <a:pPr>
                    <a:defRPr sz="897" b="1" i="0" u="none" strike="noStrike" kern="1200" baseline="0">
                      <a:solidFill>
                        <a:sysClr val="windowText" lastClr="000000"/>
                      </a:solidFill>
                      <a:latin typeface="+mn-lt"/>
                      <a:ea typeface="+mn-ea"/>
                      <a:cs typeface="+mn-cs"/>
                    </a:defRPr>
                  </a:pPr>
                  <a:endParaRPr lang="tr-TR"/>
                </a:p>
              </c:txPr>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2FFB-42E2-A4B2-E4A74A794F52}"/>
                </c:ext>
                <c:ext xmlns:c15="http://schemas.microsoft.com/office/drawing/2012/chart" uri="{CE6537A1-D6FC-4f65-9D91-7224C49458BB}"/>
              </c:extLst>
            </c:dLbl>
            <c:spPr>
              <a:noFill/>
              <a:ln w="25320">
                <a:noFill/>
              </a:ln>
            </c:spPr>
            <c:txPr>
              <a:bodyPr rot="0" spcFirstLastPara="1" vertOverflow="ellipsis" vert="horz" wrap="square" lIns="38100" tIns="19050" rIns="38100" bIns="19050" anchor="ctr" anchorCtr="1">
                <a:spAutoFit/>
              </a:bodyPr>
              <a:lstStyle/>
              <a:p>
                <a:pPr>
                  <a:defRPr sz="897" b="1"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Sayfa1!$A$2:$A$21</c:f>
              <c:numCache>
                <c:formatCode>General</c:formatCod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numCache>
            </c:numRef>
          </c:cat>
          <c:val>
            <c:numRef>
              <c:f>Sayfa1!$C$2:$C$21</c:f>
              <c:numCache>
                <c:formatCode>General</c:formatCode>
                <c:ptCount val="20"/>
                <c:pt idx="0">
                  <c:v>2.13</c:v>
                </c:pt>
                <c:pt idx="1">
                  <c:v>2.2400000000000002</c:v>
                </c:pt>
                <c:pt idx="2">
                  <c:v>2.21</c:v>
                </c:pt>
                <c:pt idx="3">
                  <c:v>2.29</c:v>
                </c:pt>
                <c:pt idx="4">
                  <c:v>2.1800000000000002</c:v>
                </c:pt>
                <c:pt idx="5">
                  <c:v>2.5299999999999998</c:v>
                </c:pt>
                <c:pt idx="6">
                  <c:v>2.41</c:v>
                </c:pt>
                <c:pt idx="7">
                  <c:v>2.88</c:v>
                </c:pt>
                <c:pt idx="8">
                  <c:v>2.57</c:v>
                </c:pt>
                <c:pt idx="9">
                  <c:v>2.63</c:v>
                </c:pt>
                <c:pt idx="10">
                  <c:v>2.76</c:v>
                </c:pt>
                <c:pt idx="11">
                  <c:v>3.03</c:v>
                </c:pt>
                <c:pt idx="12">
                  <c:v>3.24</c:v>
                </c:pt>
                <c:pt idx="13">
                  <c:v>3.19</c:v>
                </c:pt>
                <c:pt idx="14">
                  <c:v>3.46</c:v>
                </c:pt>
                <c:pt idx="15">
                  <c:v>3.54</c:v>
                </c:pt>
                <c:pt idx="16">
                  <c:v>2.69</c:v>
                </c:pt>
                <c:pt idx="17">
                  <c:v>2.56</c:v>
                </c:pt>
                <c:pt idx="18">
                  <c:v>2.57</c:v>
                </c:pt>
                <c:pt idx="19">
                  <c:v>2.6</c:v>
                </c:pt>
              </c:numCache>
            </c:numRef>
          </c:val>
          <c:extLst xmlns:c16r2="http://schemas.microsoft.com/office/drawing/2015/06/chart">
            <c:ext xmlns:c16="http://schemas.microsoft.com/office/drawing/2014/chart" uri="{C3380CC4-5D6E-409C-BE32-E72D297353CC}">
              <c16:uniqueId val="{00000016-2FFB-42E2-A4B2-E4A74A794F52}"/>
            </c:ext>
          </c:extLst>
        </c:ser>
        <c:ser>
          <c:idx val="2"/>
          <c:order val="2"/>
          <c:tx>
            <c:strRef>
              <c:f>Sayfa1!$D$1</c:f>
              <c:strCache>
                <c:ptCount val="1"/>
                <c:pt idx="0">
                  <c:v>Sütun1</c:v>
                </c:pt>
              </c:strCache>
            </c:strRef>
          </c:tx>
          <c:spPr>
            <a:solidFill>
              <a:schemeClr val="accent2">
                <a:shade val="65000"/>
              </a:schemeClr>
            </a:solidFill>
            <a:ln>
              <a:noFill/>
            </a:ln>
            <a:effectLst/>
          </c:spPr>
          <c:invertIfNegative val="0"/>
          <c:dLbls>
            <c:spPr>
              <a:noFill/>
              <a:ln w="25320">
                <a:noFill/>
              </a:ln>
            </c:spPr>
            <c:txPr>
              <a:bodyPr rot="0" spcFirstLastPara="1" vertOverflow="ellipsis" vert="horz" wrap="square" lIns="38100" tIns="19050" rIns="38100" bIns="19050" anchor="ctr" anchorCtr="1">
                <a:spAutoFit/>
              </a:bodyPr>
              <a:lstStyle/>
              <a:p>
                <a:pPr>
                  <a:defRPr sz="897"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Sayfa1!$A$2:$A$21</c:f>
              <c:numCache>
                <c:formatCode>General</c:formatCod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numCache>
            </c:numRef>
          </c:cat>
          <c:val>
            <c:numRef>
              <c:f>Sayfa1!$D$2:$D$21</c:f>
              <c:numCache>
                <c:formatCode>General</c:formatCode>
                <c:ptCount val="20"/>
              </c:numCache>
            </c:numRef>
          </c:val>
          <c:extLst xmlns:c16r2="http://schemas.microsoft.com/office/drawing/2015/06/chart">
            <c:ext xmlns:c16="http://schemas.microsoft.com/office/drawing/2014/chart" uri="{C3380CC4-5D6E-409C-BE32-E72D297353CC}">
              <c16:uniqueId val="{00000017-2FFB-42E2-A4B2-E4A74A794F52}"/>
            </c:ext>
          </c:extLst>
        </c:ser>
        <c:dLbls>
          <c:showLegendKey val="0"/>
          <c:showVal val="0"/>
          <c:showCatName val="0"/>
          <c:showSerName val="0"/>
          <c:showPercent val="0"/>
          <c:showBubbleSize val="0"/>
        </c:dLbls>
        <c:gapWidth val="219"/>
        <c:overlap val="-27"/>
        <c:axId val="331152792"/>
        <c:axId val="331146520"/>
      </c:barChart>
      <c:catAx>
        <c:axId val="331152792"/>
        <c:scaling>
          <c:orientation val="minMax"/>
        </c:scaling>
        <c:delete val="0"/>
        <c:axPos val="b"/>
        <c:numFmt formatCode="General" sourceLinked="1"/>
        <c:majorTickMark val="none"/>
        <c:minorTickMark val="none"/>
        <c:tickLblPos val="nextTo"/>
        <c:spPr>
          <a:noFill/>
          <a:ln w="9495" cap="flat" cmpd="sng" algn="ctr">
            <a:solidFill>
              <a:schemeClr val="tx1">
                <a:lumMod val="15000"/>
                <a:lumOff val="85000"/>
              </a:schemeClr>
            </a:solidFill>
            <a:round/>
          </a:ln>
          <a:effectLst/>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tr-TR"/>
          </a:p>
        </c:txPr>
        <c:crossAx val="331146520"/>
        <c:crosses val="autoZero"/>
        <c:auto val="1"/>
        <c:lblAlgn val="ctr"/>
        <c:lblOffset val="100"/>
        <c:noMultiLvlLbl val="0"/>
      </c:catAx>
      <c:valAx>
        <c:axId val="331146520"/>
        <c:scaling>
          <c:orientation val="minMax"/>
        </c:scaling>
        <c:delete val="0"/>
        <c:axPos val="l"/>
        <c:majorGridlines>
          <c:spPr>
            <a:ln w="9495" cap="flat" cmpd="sng" algn="ctr">
              <a:solidFill>
                <a:schemeClr val="tx1">
                  <a:lumMod val="15000"/>
                  <a:lumOff val="85000"/>
                </a:schemeClr>
              </a:solidFill>
              <a:round/>
            </a:ln>
            <a:effectLst/>
          </c:spPr>
        </c:majorGridlines>
        <c:numFmt formatCode="General" sourceLinked="1"/>
        <c:majorTickMark val="none"/>
        <c:minorTickMark val="none"/>
        <c:tickLblPos val="nextTo"/>
        <c:spPr>
          <a:ln w="6330">
            <a:noFill/>
          </a:ln>
        </c:spPr>
        <c:txPr>
          <a:bodyPr rot="-60000000" spcFirstLastPara="1" vertOverflow="ellipsis" vert="horz" wrap="square" anchor="ctr" anchorCtr="1"/>
          <a:lstStyle/>
          <a:p>
            <a:pPr>
              <a:defRPr sz="897" b="0" i="0" u="none" strike="noStrike" kern="1200" baseline="0">
                <a:solidFill>
                  <a:schemeClr val="tx1">
                    <a:lumMod val="65000"/>
                    <a:lumOff val="35000"/>
                  </a:schemeClr>
                </a:solidFill>
                <a:latin typeface="+mn-lt"/>
                <a:ea typeface="+mn-ea"/>
                <a:cs typeface="+mn-cs"/>
              </a:defRPr>
            </a:pPr>
            <a:endParaRPr lang="tr-TR"/>
          </a:p>
        </c:txPr>
        <c:crossAx val="331152792"/>
        <c:crosses val="autoZero"/>
        <c:crossBetween val="between"/>
      </c:valAx>
      <c:spPr>
        <a:noFill/>
        <a:ln w="25320">
          <a:noFill/>
        </a:ln>
      </c:spPr>
    </c:plotArea>
    <c:legend>
      <c:legendPos val="b"/>
      <c:legendEntry>
        <c:idx val="2"/>
        <c:delete val="1"/>
      </c:legendEntry>
      <c:overlay val="0"/>
      <c:spPr>
        <a:noFill/>
        <a:ln w="25320">
          <a:noFill/>
        </a:ln>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495" cap="flat" cmpd="sng" algn="ctr">
      <a:solidFill>
        <a:schemeClr val="tx1">
          <a:lumMod val="15000"/>
          <a:lumOff val="85000"/>
        </a:schemeClr>
      </a:solidFill>
      <a:round/>
    </a:ln>
    <a:effectLst/>
  </c:spPr>
  <c:txPr>
    <a:bodyPr/>
    <a:lstStyle/>
    <a:p>
      <a:pPr>
        <a:defRPr/>
      </a:pPr>
      <a:endParaRPr lang="tr-T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r>
              <a:rPr lang="tr-TR" sz="1400">
                <a:solidFill>
                  <a:schemeClr val="tx1"/>
                </a:solidFill>
              </a:rPr>
              <a:t>MEB Bütçesinden Eğitim Yatırımlarına Ayrılan Pay</a:t>
            </a:r>
          </a:p>
        </c:rich>
      </c:tx>
      <c:layout>
        <c:manualLayout>
          <c:xMode val="edge"/>
          <c:yMode val="edge"/>
          <c:x val="0.15881605356605966"/>
          <c:y val="2.3059996288342745E-2"/>
        </c:manualLayout>
      </c:layout>
      <c:overlay val="0"/>
      <c:spPr>
        <a:noFill/>
        <a:ln w="25338">
          <a:noFill/>
        </a:ln>
        <a:effectLst/>
      </c:spPr>
      <c:txPr>
        <a:bodyPr rot="0" spcFirstLastPara="1" vertOverflow="ellipsis" vert="horz" wrap="square" anchor="ctr" anchorCtr="1"/>
        <a:lstStyle/>
        <a:p>
          <a:pPr>
            <a:defRPr sz="1400" b="1" i="0" u="none" strike="noStrike" kern="1200" baseline="0">
              <a:solidFill>
                <a:schemeClr val="tx1"/>
              </a:solidFill>
              <a:latin typeface="+mn-lt"/>
              <a:ea typeface="+mn-ea"/>
              <a:cs typeface="+mn-cs"/>
            </a:defRPr>
          </a:pPr>
          <a:endParaRPr lang="tr-TR"/>
        </a:p>
      </c:txPr>
    </c:title>
    <c:autoTitleDeleted val="0"/>
    <c:plotArea>
      <c:layout/>
      <c:lineChart>
        <c:grouping val="standard"/>
        <c:varyColors val="0"/>
        <c:ser>
          <c:idx val="0"/>
          <c:order val="0"/>
          <c:tx>
            <c:strRef>
              <c:f>Sayfa1!$B$1</c:f>
              <c:strCache>
                <c:ptCount val="1"/>
                <c:pt idx="0">
                  <c:v>Seri 1</c:v>
                </c:pt>
              </c:strCache>
            </c:strRef>
          </c:tx>
          <c:spPr>
            <a:ln w="19050" cap="rnd" cmpd="sng" algn="ctr">
              <a:solidFill>
                <a:schemeClr val="accent2"/>
              </a:solidFill>
              <a:prstDash val="solid"/>
              <a:round/>
            </a:ln>
            <a:effectLst>
              <a:outerShdw blurRad="50800" dist="38100" dir="5400000" rotWithShape="0">
                <a:srgbClr val="000000">
                  <a:alpha val="35000"/>
                </a:srgbClr>
              </a:outerShdw>
            </a:effectLst>
          </c:spPr>
          <c:marker>
            <c:symbol val="none"/>
          </c:marker>
          <c:dLbls>
            <c:dLbl>
              <c:idx val="0"/>
              <c:layout>
                <c:manualLayout>
                  <c:x val="-4.2889576883384933E-2"/>
                  <c:y val="-3.8125789831826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85E-48BA-BB6D-C221AEBCD5DF}"/>
                </c:ext>
                <c:ext xmlns:c15="http://schemas.microsoft.com/office/drawing/2012/chart" uri="{CE6537A1-D6FC-4f65-9D91-7224C49458BB}"/>
              </c:extLst>
            </c:dLbl>
            <c:dLbl>
              <c:idx val="2"/>
              <c:layout>
                <c:manualLayout>
                  <c:x val="-3.132500393286803E-2"/>
                  <c:y val="-3.7361649012114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85E-48BA-BB6D-C221AEBCD5DF}"/>
                </c:ext>
                <c:ext xmlns:c15="http://schemas.microsoft.com/office/drawing/2012/chart" uri="{CE6537A1-D6FC-4f65-9D91-7224C49458BB}"/>
              </c:extLst>
            </c:dLbl>
            <c:dLbl>
              <c:idx val="4"/>
              <c:layout>
                <c:manualLayout>
                  <c:x val="-3.1325003932868016E-2"/>
                  <c:y val="-3.736164901211444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85E-48BA-BB6D-C221AEBCD5DF}"/>
                </c:ext>
                <c:ext xmlns:c15="http://schemas.microsoft.com/office/drawing/2012/chart" uri="{CE6537A1-D6FC-4f65-9D91-7224C49458BB}"/>
              </c:extLst>
            </c:dLbl>
            <c:dLbl>
              <c:idx val="5"/>
              <c:layout>
                <c:manualLayout>
                  <c:x val="-3.1466918370219497E-2"/>
                  <c:y val="-4.339856540733719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85E-48BA-BB6D-C221AEBCD5DF}"/>
                </c:ext>
                <c:ext xmlns:c15="http://schemas.microsoft.com/office/drawing/2012/chart" uri="{CE6537A1-D6FC-4f65-9D91-7224C49458BB}"/>
              </c:extLst>
            </c:dLbl>
            <c:dLbl>
              <c:idx val="8"/>
              <c:layout>
                <c:manualLayout>
                  <c:x val="-3.7634152197852239E-2"/>
                  <c:y val="-3.736164901211452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85E-48BA-BB6D-C221AEBCD5DF}"/>
                </c:ext>
                <c:ext xmlns:c15="http://schemas.microsoft.com/office/drawing/2012/chart" uri="{CE6537A1-D6FC-4f65-9D91-7224C49458BB}"/>
              </c:extLst>
            </c:dLbl>
            <c:dLbl>
              <c:idx val="12"/>
              <c:layout>
                <c:manualLayout>
                  <c:x val="-3.567301721354231E-2"/>
                  <c:y val="-4.33985654073371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85E-48BA-BB6D-C221AEBCD5DF}"/>
                </c:ext>
                <c:ext xmlns:c15="http://schemas.microsoft.com/office/drawing/2012/chart" uri="{CE6537A1-D6FC-4f65-9D91-7224C49458BB}"/>
              </c:extLst>
            </c:dLbl>
            <c:dLbl>
              <c:idx val="13"/>
              <c:layout>
                <c:manualLayout>
                  <c:x val="-3.5673017213542393E-2"/>
                  <c:y val="-3.90554600870330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85E-48BA-BB6D-C221AEBCD5DF}"/>
                </c:ext>
                <c:ext xmlns:c15="http://schemas.microsoft.com/office/drawing/2012/chart" uri="{CE6537A1-D6FC-4f65-9D91-7224C49458BB}"/>
              </c:extLst>
            </c:dLbl>
            <c:dLbl>
              <c:idx val="14"/>
              <c:layout>
                <c:manualLayout>
                  <c:x val="-3.567301721354231E-2"/>
                  <c:y val="-3.90554600870330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85E-48BA-BB6D-C221AEBCD5DF}"/>
                </c:ext>
                <c:ext xmlns:c15="http://schemas.microsoft.com/office/drawing/2012/chart" uri="{CE6537A1-D6FC-4f65-9D91-7224C49458BB}"/>
              </c:extLst>
            </c:dLbl>
            <c:dLbl>
              <c:idx val="15"/>
              <c:layout>
                <c:manualLayout>
                  <c:x val="-3.08780645321543E-2"/>
                  <c:y val="-4.33985654073371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85E-48BA-BB6D-C221AEBCD5DF}"/>
                </c:ext>
                <c:ext xmlns:c15="http://schemas.microsoft.com/office/drawing/2012/chart" uri="{CE6537A1-D6FC-4f65-9D91-7224C49458BB}"/>
              </c:extLst>
            </c:dLbl>
            <c:dLbl>
              <c:idx val="16"/>
              <c:layout>
                <c:manualLayout>
                  <c:x val="-3.567301721354231E-2"/>
                  <c:y val="-3.905546008703309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85E-48BA-BB6D-C221AEBCD5DF}"/>
                </c:ext>
                <c:ext xmlns:c15="http://schemas.microsoft.com/office/drawing/2012/chart" uri="{CE6537A1-D6FC-4f65-9D91-7224C49458BB}"/>
              </c:extLst>
            </c:dLbl>
            <c:dLbl>
              <c:idx val="17"/>
              <c:layout>
                <c:manualLayout>
                  <c:x val="-2.3852720302706642E-2"/>
                  <c:y val="-4.170475433241870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85E-48BA-BB6D-C221AEBCD5DF}"/>
                </c:ext>
                <c:ext xmlns:c15="http://schemas.microsoft.com/office/drawing/2012/chart" uri="{CE6537A1-D6FC-4f65-9D91-7224C49458BB}"/>
              </c:extLst>
            </c:dLbl>
            <c:dLbl>
              <c:idx val="18"/>
              <c:layout>
                <c:manualLayout>
                  <c:x val="-3.2219858311582916E-2"/>
                  <c:y val="3.6470952941905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85E-48BA-BB6D-C221AEBCD5DF}"/>
                </c:ext>
                <c:ext xmlns:c15="http://schemas.microsoft.com/office/drawing/2012/chart" uri="{CE6537A1-D6FC-4f65-9D91-7224C49458BB}"/>
              </c:extLst>
            </c:dLbl>
            <c:dLbl>
              <c:idx val="19"/>
              <c:layout>
                <c:manualLayout>
                  <c:x val="-2.5109090465858949E-2"/>
                  <c:y val="-3.25406293910230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85E-48BA-BB6D-C221AEBCD5DF}"/>
                </c:ext>
                <c:ext xmlns:c15="http://schemas.microsoft.com/office/drawing/2012/chart" uri="{CE6537A1-D6FC-4f65-9D91-7224C49458BB}"/>
              </c:extLst>
            </c:dLbl>
            <c:spPr>
              <a:noFill/>
              <a:ln w="25338">
                <a:noFill/>
              </a:ln>
              <a:effectLst/>
            </c:spPr>
            <c:txPr>
              <a:bodyPr rot="0" spcFirstLastPara="1" vertOverflow="ellipsis" vert="horz" wrap="square" lIns="38100" tIns="19050" rIns="38100" bIns="19050" anchor="ctr" anchorCtr="1">
                <a:spAutoFit/>
              </a:bodyPr>
              <a:lstStyle/>
              <a:p>
                <a:pPr>
                  <a:defRPr sz="898" b="1" i="0" u="none" strike="noStrike" kern="1200" baseline="0">
                    <a:solidFill>
                      <a:schemeClr val="tx1"/>
                    </a:solidFill>
                    <a:latin typeface="+mn-lt"/>
                    <a:ea typeface="+mn-ea"/>
                    <a:cs typeface="+mn-cs"/>
                  </a:defRPr>
                </a:pPr>
                <a:endParaRPr lang="tr-T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Sayfa1!$A$2:$A$21</c:f>
              <c:numCache>
                <c:formatCode>General</c:formatCod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numCache>
            </c:numRef>
          </c:cat>
          <c:val>
            <c:numRef>
              <c:f>Sayfa1!$B$2:$B$21</c:f>
              <c:numCache>
                <c:formatCode>General</c:formatCode>
                <c:ptCount val="20"/>
                <c:pt idx="0">
                  <c:v>17.18</c:v>
                </c:pt>
                <c:pt idx="1">
                  <c:v>14.53</c:v>
                </c:pt>
                <c:pt idx="2">
                  <c:v>9.68</c:v>
                </c:pt>
                <c:pt idx="3">
                  <c:v>8.27</c:v>
                </c:pt>
                <c:pt idx="4">
                  <c:v>7.49</c:v>
                </c:pt>
                <c:pt idx="5">
                  <c:v>6.98</c:v>
                </c:pt>
                <c:pt idx="6">
                  <c:v>5.66</c:v>
                </c:pt>
                <c:pt idx="7">
                  <c:v>4.57</c:v>
                </c:pt>
                <c:pt idx="8">
                  <c:v>6.32</c:v>
                </c:pt>
                <c:pt idx="9">
                  <c:v>5.85</c:v>
                </c:pt>
                <c:pt idx="10">
                  <c:v>6.64</c:v>
                </c:pt>
                <c:pt idx="11">
                  <c:v>8.32</c:v>
                </c:pt>
                <c:pt idx="12">
                  <c:v>9.32</c:v>
                </c:pt>
                <c:pt idx="13">
                  <c:v>8.86</c:v>
                </c:pt>
                <c:pt idx="14">
                  <c:v>8.23</c:v>
                </c:pt>
                <c:pt idx="15">
                  <c:v>8.5</c:v>
                </c:pt>
                <c:pt idx="16">
                  <c:v>8.36</c:v>
                </c:pt>
                <c:pt idx="17">
                  <c:v>4.88</c:v>
                </c:pt>
                <c:pt idx="18">
                  <c:v>4.6500000000000004</c:v>
                </c:pt>
                <c:pt idx="19">
                  <c:v>7.69</c:v>
                </c:pt>
              </c:numCache>
            </c:numRef>
          </c:val>
          <c:smooth val="0"/>
          <c:extLst xmlns:c16r2="http://schemas.microsoft.com/office/drawing/2015/06/chart">
            <c:ext xmlns:c16="http://schemas.microsoft.com/office/drawing/2014/chart" uri="{C3380CC4-5D6E-409C-BE32-E72D297353CC}">
              <c16:uniqueId val="{0000000D-D85E-48BA-BB6D-C221AEBCD5DF}"/>
            </c:ext>
          </c:extLst>
        </c:ser>
        <c:ser>
          <c:idx val="1"/>
          <c:order val="1"/>
          <c:tx>
            <c:strRef>
              <c:f>Sayfa1!$C$1</c:f>
              <c:strCache>
                <c:ptCount val="1"/>
                <c:pt idx="0">
                  <c:v>Sütun1</c:v>
                </c:pt>
              </c:strCache>
            </c:strRef>
          </c:tx>
          <c:spPr>
            <a:ln w="19050" cap="rnd" cmpd="sng" algn="ctr">
              <a:solidFill>
                <a:schemeClr val="accent4"/>
              </a:solidFill>
              <a:prstDash val="solid"/>
              <a:round/>
            </a:ln>
            <a:effectLst>
              <a:outerShdw blurRad="50800" dist="38100" dir="5400000" rotWithShape="0">
                <a:srgbClr val="000000">
                  <a:alpha val="35000"/>
                </a:srgbClr>
              </a:outerShdw>
            </a:effectLst>
          </c:spPr>
          <c:marker>
            <c:symbol val="none"/>
          </c:marker>
          <c:dLbls>
            <c:spPr>
              <a:noFill/>
              <a:ln w="25338">
                <a:noFill/>
              </a:ln>
              <a:effectLst/>
            </c:spPr>
            <c:txPr>
              <a:bodyPr rot="0" spcFirstLastPara="1" vertOverflow="ellipsis" vert="horz" wrap="square" lIns="38100" tIns="19050" rIns="38100" bIns="19050" anchor="ctr" anchorCtr="1">
                <a:spAutoFit/>
              </a:bodyPr>
              <a:lstStyle/>
              <a:p>
                <a:pPr>
                  <a:defRPr sz="898" b="0" i="0" u="none" strike="noStrike" kern="1200" baseline="0">
                    <a:solidFill>
                      <a:schemeClr val="tx2"/>
                    </a:solidFill>
                    <a:latin typeface="+mn-lt"/>
                    <a:ea typeface="+mn-ea"/>
                    <a:cs typeface="+mn-cs"/>
                  </a:defRPr>
                </a:pPr>
                <a:endParaRPr lang="tr-T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Sayfa1!$A$2:$A$21</c:f>
              <c:numCache>
                <c:formatCode>General</c:formatCod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numCache>
            </c:numRef>
          </c:cat>
          <c:val>
            <c:numRef>
              <c:f>Sayfa1!$C$2:$C$21</c:f>
              <c:numCache>
                <c:formatCode>General</c:formatCode>
                <c:ptCount val="20"/>
              </c:numCache>
            </c:numRef>
          </c:val>
          <c:smooth val="0"/>
          <c:extLst xmlns:c16r2="http://schemas.microsoft.com/office/drawing/2015/06/chart">
            <c:ext xmlns:c16="http://schemas.microsoft.com/office/drawing/2014/chart" uri="{C3380CC4-5D6E-409C-BE32-E72D297353CC}">
              <c16:uniqueId val="{0000000E-D85E-48BA-BB6D-C221AEBCD5DF}"/>
            </c:ext>
          </c:extLst>
        </c:ser>
        <c:ser>
          <c:idx val="2"/>
          <c:order val="2"/>
          <c:tx>
            <c:strRef>
              <c:f>Sayfa1!$D$1</c:f>
              <c:strCache>
                <c:ptCount val="1"/>
                <c:pt idx="0">
                  <c:v>Sütun2</c:v>
                </c:pt>
              </c:strCache>
            </c:strRef>
          </c:tx>
          <c:spPr>
            <a:ln w="19050" cap="rnd" cmpd="sng" algn="ctr">
              <a:solidFill>
                <a:schemeClr val="accent6"/>
              </a:solidFill>
              <a:prstDash val="solid"/>
              <a:round/>
            </a:ln>
            <a:effectLst>
              <a:outerShdw blurRad="50800" dist="38100" dir="5400000" rotWithShape="0">
                <a:srgbClr val="000000">
                  <a:alpha val="35000"/>
                </a:srgbClr>
              </a:outerShdw>
            </a:effectLst>
          </c:spPr>
          <c:marker>
            <c:symbol val="none"/>
          </c:marker>
          <c:dLbls>
            <c:spPr>
              <a:noFill/>
              <a:ln w="25338">
                <a:noFill/>
              </a:ln>
              <a:effectLst/>
            </c:spPr>
            <c:txPr>
              <a:bodyPr rot="0" spcFirstLastPara="1" vertOverflow="ellipsis" vert="horz" wrap="square" lIns="38100" tIns="19050" rIns="38100" bIns="19050" anchor="ctr" anchorCtr="1">
                <a:spAutoFit/>
              </a:bodyPr>
              <a:lstStyle/>
              <a:p>
                <a:pPr>
                  <a:defRPr sz="898" b="0" i="0" u="none" strike="noStrike" kern="1200" baseline="0">
                    <a:solidFill>
                      <a:schemeClr val="tx2"/>
                    </a:solidFill>
                    <a:latin typeface="+mn-lt"/>
                    <a:ea typeface="+mn-ea"/>
                    <a:cs typeface="+mn-cs"/>
                  </a:defRPr>
                </a:pPr>
                <a:endParaRPr lang="tr-T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Sayfa1!$A$2:$A$21</c:f>
              <c:numCache>
                <c:formatCode>General</c:formatCode>
                <c:ptCount val="20"/>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pt idx="18">
                  <c:v>2020</c:v>
                </c:pt>
                <c:pt idx="19">
                  <c:v>2021</c:v>
                </c:pt>
              </c:numCache>
            </c:numRef>
          </c:cat>
          <c:val>
            <c:numRef>
              <c:f>Sayfa1!$D$2:$D$21</c:f>
              <c:numCache>
                <c:formatCode>General</c:formatCode>
                <c:ptCount val="20"/>
              </c:numCache>
            </c:numRef>
          </c:val>
          <c:smooth val="0"/>
          <c:extLst xmlns:c16r2="http://schemas.microsoft.com/office/drawing/2015/06/chart">
            <c:ext xmlns:c16="http://schemas.microsoft.com/office/drawing/2014/chart" uri="{C3380CC4-5D6E-409C-BE32-E72D297353CC}">
              <c16:uniqueId val="{0000000F-D85E-48BA-BB6D-C221AEBCD5DF}"/>
            </c:ext>
          </c:extLst>
        </c:ser>
        <c:dLbls>
          <c:showLegendKey val="0"/>
          <c:showVal val="0"/>
          <c:showCatName val="0"/>
          <c:showSerName val="0"/>
          <c:showPercent val="0"/>
          <c:showBubbleSize val="0"/>
        </c:dLbls>
        <c:smooth val="0"/>
        <c:axId val="331150832"/>
        <c:axId val="331148872"/>
      </c:lineChart>
      <c:catAx>
        <c:axId val="331150832"/>
        <c:scaling>
          <c:orientation val="minMax"/>
        </c:scaling>
        <c:delete val="0"/>
        <c:axPos val="b"/>
        <c:numFmt formatCode="General" sourceLinked="1"/>
        <c:majorTickMark val="out"/>
        <c:minorTickMark val="none"/>
        <c:tickLblPos val="nextTo"/>
        <c:spPr>
          <a:noFill/>
          <a:ln w="9502"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sz="898" b="1" i="0" u="none" strike="noStrike" kern="1200" baseline="0">
                <a:solidFill>
                  <a:sysClr val="windowText" lastClr="000000"/>
                </a:solidFill>
                <a:latin typeface="+mn-lt"/>
                <a:ea typeface="+mn-ea"/>
                <a:cs typeface="+mn-cs"/>
              </a:defRPr>
            </a:pPr>
            <a:endParaRPr lang="tr-TR"/>
          </a:p>
        </c:txPr>
        <c:crossAx val="331148872"/>
        <c:crosses val="autoZero"/>
        <c:auto val="1"/>
        <c:lblAlgn val="ctr"/>
        <c:lblOffset val="100"/>
        <c:noMultiLvlLbl val="0"/>
      </c:catAx>
      <c:valAx>
        <c:axId val="331148872"/>
        <c:scaling>
          <c:orientation val="minMax"/>
        </c:scaling>
        <c:delete val="0"/>
        <c:axPos val="l"/>
        <c:majorGridlines>
          <c:spPr>
            <a:ln w="9502" cap="flat" cmpd="sng" algn="ctr">
              <a:solidFill>
                <a:schemeClr val="tx2">
                  <a:lumMod val="15000"/>
                  <a:lumOff val="85000"/>
                </a:schemeClr>
              </a:solidFill>
              <a:prstDash val="solid"/>
              <a:round/>
            </a:ln>
            <a:effectLst/>
          </c:spPr>
        </c:majorGridlines>
        <c:numFmt formatCode="General" sourceLinked="1"/>
        <c:majorTickMark val="none"/>
        <c:minorTickMark val="none"/>
        <c:tickLblPos val="nextTo"/>
        <c:spPr>
          <a:noFill/>
          <a:ln w="6335" cap="flat" cmpd="sng" algn="ctr">
            <a:noFill/>
            <a:prstDash val="solid"/>
            <a:round/>
          </a:ln>
          <a:effectLst/>
        </c:spPr>
        <c:txPr>
          <a:bodyPr rot="-60000000" spcFirstLastPara="1" vertOverflow="ellipsis" vert="horz" wrap="square" anchor="ctr" anchorCtr="1"/>
          <a:lstStyle/>
          <a:p>
            <a:pPr>
              <a:defRPr sz="898" b="0" i="0" u="none" strike="noStrike" kern="1200" baseline="0">
                <a:solidFill>
                  <a:schemeClr val="tx2"/>
                </a:solidFill>
                <a:latin typeface="+mn-lt"/>
                <a:ea typeface="+mn-ea"/>
                <a:cs typeface="+mn-cs"/>
              </a:defRPr>
            </a:pPr>
            <a:endParaRPr lang="tr-TR"/>
          </a:p>
        </c:txPr>
        <c:crossAx val="331150832"/>
        <c:crosses val="autoZero"/>
        <c:crossBetween val="between"/>
      </c:valAx>
      <c:spPr>
        <a:noFill/>
        <a:ln w="25338">
          <a:noFill/>
        </a:ln>
        <a:effectLst/>
      </c:spPr>
    </c:plotArea>
    <c:plotVisOnly val="1"/>
    <c:dispBlanksAs val="gap"/>
    <c:showDLblsOverMax val="0"/>
  </c:chart>
  <c:spPr>
    <a:solidFill>
      <a:schemeClr val="bg1"/>
    </a:solidFill>
    <a:ln w="9502" cap="flat" cmpd="sng" algn="ctr">
      <a:solidFill>
        <a:schemeClr val="tx2">
          <a:lumMod val="15000"/>
          <a:lumOff val="85000"/>
        </a:schemeClr>
      </a:solidFill>
      <a:prstDash val="solid"/>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tr-TR" sz="1200" b="1">
                <a:solidFill>
                  <a:schemeClr val="tx1"/>
                </a:solidFill>
              </a:rPr>
              <a:t>Ataması Yapılan ve Emekli Olan Öğretmenler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tr-TR"/>
        </a:p>
      </c:txPr>
    </c:title>
    <c:autoTitleDeleted val="0"/>
    <c:plotArea>
      <c:layout>
        <c:manualLayout>
          <c:layoutTarget val="inner"/>
          <c:xMode val="edge"/>
          <c:yMode val="edge"/>
          <c:x val="8.0401075243238099E-2"/>
          <c:y val="0.14718253968253969"/>
          <c:w val="0.90348613523007504"/>
          <c:h val="0.66998656417947755"/>
        </c:manualLayout>
      </c:layout>
      <c:lineChart>
        <c:grouping val="standard"/>
        <c:varyColors val="0"/>
        <c:ser>
          <c:idx val="0"/>
          <c:order val="0"/>
          <c:tx>
            <c:strRef>
              <c:f>Sayfa1!$B$1</c:f>
              <c:strCache>
                <c:ptCount val="1"/>
                <c:pt idx="0">
                  <c:v>Atanan Öğretmenler</c:v>
                </c:pt>
              </c:strCache>
            </c:strRef>
          </c:tx>
          <c:spPr>
            <a:ln w="28575" cap="rnd">
              <a:solidFill>
                <a:schemeClr val="accent1"/>
              </a:solidFill>
              <a:round/>
            </a:ln>
            <a:effectLst/>
          </c:spPr>
          <c:marker>
            <c:symbol val="none"/>
          </c:marker>
          <c:dLbls>
            <c:dLbl>
              <c:idx val="0"/>
              <c:layout>
                <c:manualLayout>
                  <c:x val="-4.1684851601947868E-2"/>
                  <c:y val="3.37598425196850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CCFE-4AFC-B539-56000D629C12}"/>
                </c:ext>
                <c:ext xmlns:c15="http://schemas.microsoft.com/office/drawing/2012/chart" uri="{CE6537A1-D6FC-4f65-9D91-7224C49458BB}"/>
              </c:extLst>
            </c:dLbl>
            <c:dLbl>
              <c:idx val="1"/>
              <c:layout>
                <c:manualLayout>
                  <c:x val="-4.2502557270975606E-2"/>
                  <c:y val="-1.385920509936265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CFE-4AFC-B539-56000D629C12}"/>
                </c:ext>
                <c:ext xmlns:c15="http://schemas.microsoft.com/office/drawing/2012/chart" uri="{CE6537A1-D6FC-4f65-9D91-7224C49458BB}"/>
              </c:extLst>
            </c:dLbl>
            <c:dLbl>
              <c:idx val="2"/>
              <c:layout>
                <c:manualLayout>
                  <c:x val="-5.1163240011665209E-2"/>
                  <c:y val="-3.766872890888638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CCFE-4AFC-B539-56000D629C12}"/>
                </c:ext>
                <c:ext xmlns:c15="http://schemas.microsoft.com/office/drawing/2012/chart" uri="{CE6537A1-D6FC-4f65-9D91-7224C49458BB}"/>
              </c:extLst>
            </c:dLbl>
            <c:dLbl>
              <c:idx val="4"/>
              <c:layout>
                <c:manualLayout>
                  <c:x val="-4.8848425196850391E-2"/>
                  <c:y val="-2.576396700412452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CFE-4AFC-B539-56000D629C12}"/>
                </c:ext>
                <c:ext xmlns:c15="http://schemas.microsoft.com/office/drawing/2012/chart" uri="{CE6537A1-D6FC-4f65-9D91-7224C49458BB}"/>
              </c:extLst>
            </c:dLbl>
            <c:dLbl>
              <c:idx val="6"/>
              <c:layout>
                <c:manualLayout>
                  <c:x val="-4.8848425196850391E-2"/>
                  <c:y val="-2.973222097237852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CCFE-4AFC-B539-56000D629C12}"/>
                </c:ext>
                <c:ext xmlns:c15="http://schemas.microsoft.com/office/drawing/2012/chart" uri="{CE6537A1-D6FC-4f65-9D91-7224C49458BB}"/>
              </c:extLst>
            </c:dLbl>
            <c:dLbl>
              <c:idx val="7"/>
              <c:layout>
                <c:manualLayout>
                  <c:x val="-4.8692220764071245E-2"/>
                  <c:y val="2.18550806149231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CFE-4AFC-B539-56000D629C12}"/>
                </c:ext>
                <c:ext xmlns:c15="http://schemas.microsoft.com/office/drawing/2012/chart" uri="{CE6537A1-D6FC-4f65-9D91-7224C49458BB}"/>
              </c:extLst>
            </c:dLbl>
            <c:dLbl>
              <c:idx val="8"/>
              <c:layout>
                <c:manualLayout>
                  <c:x val="-4.8692220764071155E-2"/>
                  <c:y val="-2.576396700412450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CFE-4AFC-B539-56000D629C12}"/>
                </c:ext>
                <c:ext xmlns:c15="http://schemas.microsoft.com/office/drawing/2012/chart" uri="{CE6537A1-D6FC-4f65-9D91-7224C49458BB}"/>
              </c:extLst>
            </c:dLbl>
            <c:dLbl>
              <c:idx val="9"/>
              <c:layout>
                <c:manualLayout>
                  <c:x val="-4.8692220764071155E-2"/>
                  <c:y val="2.58233345831771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CFE-4AFC-B539-56000D629C12}"/>
                </c:ext>
                <c:ext xmlns:c15="http://schemas.microsoft.com/office/drawing/2012/chart" uri="{CE6537A1-D6FC-4f65-9D91-7224C49458BB}"/>
              </c:extLst>
            </c:dLbl>
            <c:dLbl>
              <c:idx val="10"/>
              <c:layout>
                <c:manualLayout>
                  <c:x val="-5.1007035578885973E-2"/>
                  <c:y val="-2.97322209723784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CFE-4AFC-B539-56000D629C12}"/>
                </c:ext>
                <c:ext xmlns:c15="http://schemas.microsoft.com/office/drawing/2012/chart" uri="{CE6537A1-D6FC-4f65-9D91-7224C49458BB}"/>
              </c:extLst>
            </c:dLbl>
            <c:dLbl>
              <c:idx val="11"/>
              <c:layout>
                <c:manualLayout>
                  <c:x val="-4.8692220764071155E-2"/>
                  <c:y val="-2.57639670041244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CFE-4AFC-B539-56000D629C12}"/>
                </c:ext>
                <c:ext xmlns:c15="http://schemas.microsoft.com/office/drawing/2012/chart" uri="{CE6537A1-D6FC-4f65-9D91-7224C49458BB}"/>
              </c:extLst>
            </c:dLbl>
            <c:dLbl>
              <c:idx val="12"/>
              <c:layout>
                <c:manualLayout>
                  <c:x val="-2.7858887430737823E-2"/>
                  <c:y val="-2.57639670041244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CFE-4AFC-B539-56000D629C12}"/>
                </c:ext>
                <c:ext xmlns:c15="http://schemas.microsoft.com/office/drawing/2012/chart" uri="{CE6537A1-D6FC-4f65-9D91-7224C49458BB}"/>
              </c:extLst>
            </c:dLbl>
            <c:dLbl>
              <c:idx val="13"/>
              <c:layout>
                <c:manualLayout>
                  <c:x val="-3.0030411487820381E-2"/>
                  <c:y val="-3.718549941404925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CCFE-4AFC-B539-56000D629C12}"/>
                </c:ext>
                <c:ext xmlns:c15="http://schemas.microsoft.com/office/drawing/2012/chart" uri="{CE6537A1-D6FC-4f65-9D91-7224C49458BB}"/>
              </c:extLst>
            </c:dLbl>
            <c:dLbl>
              <c:idx val="14"/>
              <c:layout>
                <c:manualLayout>
                  <c:x val="-7.8599011981509825E-3"/>
                  <c:y val="2.0138107736532933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CCFE-4AFC-B539-56000D629C12}"/>
                </c:ext>
                <c:ext xmlns:c15="http://schemas.microsoft.com/office/drawing/2012/chart" uri="{CE6537A1-D6FC-4f65-9D91-7224C49458BB}"/>
              </c:extLst>
            </c:dLbl>
            <c:dLbl>
              <c:idx val="15"/>
              <c:layout>
                <c:manualLayout>
                  <c:x val="-1.126103194804577E-2"/>
                  <c:y val="-2.97322209723784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CCFE-4AFC-B539-56000D629C12}"/>
                </c:ext>
                <c:ext xmlns:c15="http://schemas.microsoft.com/office/drawing/2012/chart" uri="{CE6537A1-D6FC-4f65-9D91-7224C49458BB}"/>
              </c:extLst>
            </c:dLbl>
            <c:dLbl>
              <c:idx val="16"/>
              <c:layout>
                <c:manualLayout>
                  <c:x val="-2.1240320166590748E-4"/>
                  <c:y val="3.249991478337926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CCFE-4AFC-B539-56000D629C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tr-T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Sayfa1!$A$3:$A$20</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Sayfa1!$B$3:$B$20</c:f>
              <c:numCache>
                <c:formatCode>#,##0</c:formatCode>
                <c:ptCount val="17"/>
                <c:pt idx="0">
                  <c:v>19029</c:v>
                </c:pt>
                <c:pt idx="1">
                  <c:v>20777</c:v>
                </c:pt>
                <c:pt idx="2">
                  <c:v>50877</c:v>
                </c:pt>
                <c:pt idx="3">
                  <c:v>45420</c:v>
                </c:pt>
                <c:pt idx="4">
                  <c:v>40709</c:v>
                </c:pt>
                <c:pt idx="5">
                  <c:v>30216</c:v>
                </c:pt>
                <c:pt idx="6">
                  <c:v>40922</c:v>
                </c:pt>
                <c:pt idx="7">
                  <c:v>39945</c:v>
                </c:pt>
                <c:pt idx="8">
                  <c:v>56106</c:v>
                </c:pt>
                <c:pt idx="9">
                  <c:v>41579</c:v>
                </c:pt>
                <c:pt idx="10">
                  <c:v>50990</c:v>
                </c:pt>
                <c:pt idx="11">
                  <c:v>52736</c:v>
                </c:pt>
                <c:pt idx="12">
                  <c:v>49015</c:v>
                </c:pt>
                <c:pt idx="13">
                  <c:v>23496</c:v>
                </c:pt>
                <c:pt idx="14">
                  <c:v>25577</c:v>
                </c:pt>
                <c:pt idx="15">
                  <c:v>41379</c:v>
                </c:pt>
                <c:pt idx="16">
                  <c:v>41139</c:v>
                </c:pt>
              </c:numCache>
            </c:numRef>
          </c:val>
          <c:smooth val="0"/>
          <c:extLst xmlns:c16r2="http://schemas.microsoft.com/office/drawing/2015/06/chart">
            <c:ext xmlns:c16="http://schemas.microsoft.com/office/drawing/2014/chart" uri="{C3380CC4-5D6E-409C-BE32-E72D297353CC}">
              <c16:uniqueId val="{0000000F-CCFE-4AFC-B539-56000D629C12}"/>
            </c:ext>
          </c:extLst>
        </c:ser>
        <c:ser>
          <c:idx val="1"/>
          <c:order val="1"/>
          <c:tx>
            <c:strRef>
              <c:f>Sayfa1!$C$1</c:f>
              <c:strCache>
                <c:ptCount val="1"/>
                <c:pt idx="0">
                  <c:v>Emekli olanlar</c:v>
                </c:pt>
              </c:strCache>
            </c:strRef>
          </c:tx>
          <c:spPr>
            <a:ln w="28575" cap="rnd">
              <a:solidFill>
                <a:schemeClr val="accent2"/>
              </a:solidFill>
              <a:round/>
            </a:ln>
            <a:effectLst/>
          </c:spPr>
          <c:marker>
            <c:symbol val="none"/>
          </c:marker>
          <c:dLbls>
            <c:dLbl>
              <c:idx val="1"/>
              <c:layout>
                <c:manualLayout>
                  <c:x val="-4.4062591134441526E-2"/>
                  <c:y val="-4.957349081364836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CCFE-4AFC-B539-56000D629C12}"/>
                </c:ext>
                <c:ext xmlns:c15="http://schemas.microsoft.com/office/drawing/2012/chart" uri="{CE6537A1-D6FC-4f65-9D91-7224C49458BB}"/>
              </c:extLst>
            </c:dLbl>
            <c:dLbl>
              <c:idx val="2"/>
              <c:layout>
                <c:manualLayout>
                  <c:x val="-4.8692220764071203E-2"/>
                  <c:y val="2.58233345831771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CCFE-4AFC-B539-56000D629C12}"/>
                </c:ext>
                <c:ext xmlns:c15="http://schemas.microsoft.com/office/drawing/2012/chart" uri="{CE6537A1-D6FC-4f65-9D91-7224C49458BB}"/>
              </c:extLst>
            </c:dLbl>
            <c:dLbl>
              <c:idx val="3"/>
              <c:layout>
                <c:manualLayout>
                  <c:x val="-4.6377475542829873E-2"/>
                  <c:y val="-4.67179978886403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CCFE-4AFC-B539-56000D629C12}"/>
                </c:ext>
                <c:ext xmlns:c15="http://schemas.microsoft.com/office/drawing/2012/chart" uri="{CE6537A1-D6FC-4f65-9D91-7224C49458BB}"/>
              </c:extLst>
            </c:dLbl>
            <c:dLbl>
              <c:idx val="4"/>
              <c:layout>
                <c:manualLayout>
                  <c:x val="-3.4803409904340513E-2"/>
                  <c:y val="-2.89415114623587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CCFE-4AFC-B539-56000D629C12}"/>
                </c:ext>
                <c:ext xmlns:c15="http://schemas.microsoft.com/office/drawing/2012/chart" uri="{CE6537A1-D6FC-4f65-9D91-7224C49458BB}"/>
              </c:extLst>
            </c:dLbl>
            <c:dLbl>
              <c:idx val="5"/>
              <c:layout>
                <c:manualLayout>
                  <c:x val="-5.3321850393700784E-2"/>
                  <c:y val="2.18550806149231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CCFE-4AFC-B539-56000D629C12}"/>
                </c:ext>
                <c:ext xmlns:c15="http://schemas.microsoft.com/office/drawing/2012/chart" uri="{CE6537A1-D6FC-4f65-9D91-7224C49458BB}"/>
              </c:extLst>
            </c:dLbl>
            <c:dLbl>
              <c:idx val="6"/>
              <c:layout>
                <c:manualLayout>
                  <c:x val="-4.1482137046918721E-2"/>
                  <c:y val="-4.178361468654056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CCFE-4AFC-B539-56000D629C12}"/>
                </c:ext>
                <c:ext xmlns:c15="http://schemas.microsoft.com/office/drawing/2012/chart" uri="{CE6537A1-D6FC-4f65-9D91-7224C49458BB}"/>
              </c:extLst>
            </c:dLbl>
            <c:dLbl>
              <c:idx val="7"/>
              <c:layout>
                <c:manualLayout>
                  <c:x val="-4.3414442986293378E-2"/>
                  <c:y val="-3.37004749406324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CCFE-4AFC-B539-56000D629C12}"/>
                </c:ext>
                <c:ext xmlns:c15="http://schemas.microsoft.com/office/drawing/2012/chart" uri="{CE6537A1-D6FC-4f65-9D91-7224C49458BB}"/>
              </c:extLst>
            </c:dLbl>
            <c:dLbl>
              <c:idx val="8"/>
              <c:layout>
                <c:manualLayout>
                  <c:x val="-4.3414442986293468E-2"/>
                  <c:y val="-2.973222097237845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CCFE-4AFC-B539-56000D629C12}"/>
                </c:ext>
                <c:ext xmlns:c15="http://schemas.microsoft.com/office/drawing/2012/chart" uri="{CE6537A1-D6FC-4f65-9D91-7224C49458BB}"/>
              </c:extLst>
            </c:dLbl>
            <c:dLbl>
              <c:idx val="9"/>
              <c:layout>
                <c:manualLayout>
                  <c:x val="-4.3414442986293378E-2"/>
                  <c:y val="-2.57639670041244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CCFE-4AFC-B539-56000D629C12}"/>
                </c:ext>
                <c:ext xmlns:c15="http://schemas.microsoft.com/office/drawing/2012/chart" uri="{CE6537A1-D6FC-4f65-9D91-7224C49458BB}"/>
              </c:extLst>
            </c:dLbl>
            <c:dLbl>
              <c:idx val="10"/>
              <c:layout>
                <c:manualLayout>
                  <c:x val="-3.8784813356663748E-2"/>
                  <c:y val="-2.57639670041244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CCFE-4AFC-B539-56000D629C12}"/>
                </c:ext>
                <c:ext xmlns:c15="http://schemas.microsoft.com/office/drawing/2012/chart" uri="{CE6537A1-D6FC-4f65-9D91-7224C49458BB}"/>
              </c:extLst>
            </c:dLbl>
            <c:dLbl>
              <c:idx val="11"/>
              <c:layout>
                <c:manualLayout>
                  <c:x val="-4.3414442986293551E-2"/>
                  <c:y val="-2.57639670041246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CCFE-4AFC-B539-56000D629C12}"/>
                </c:ext>
                <c:ext xmlns:c15="http://schemas.microsoft.com/office/drawing/2012/chart" uri="{CE6537A1-D6FC-4f65-9D91-7224C49458BB}"/>
              </c:extLst>
            </c:dLbl>
            <c:dLbl>
              <c:idx val="12"/>
              <c:layout>
                <c:manualLayout>
                  <c:x val="-3.8784813356663748E-2"/>
                  <c:y val="2.582333458317710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CCFE-4AFC-B539-56000D629C12}"/>
                </c:ext>
                <c:ext xmlns:c15="http://schemas.microsoft.com/office/drawing/2012/chart" uri="{CE6537A1-D6FC-4f65-9D91-7224C49458BB}"/>
              </c:extLst>
            </c:dLbl>
            <c:dLbl>
              <c:idx val="13"/>
              <c:layout>
                <c:manualLayout>
                  <c:x val="-4.0729833242143826E-2"/>
                  <c:y val="-1.782745906761662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CCFE-4AFC-B539-56000D629C12}"/>
                </c:ext>
                <c:ext xmlns:c15="http://schemas.microsoft.com/office/drawing/2012/chart" uri="{CE6537A1-D6FC-4f65-9D91-7224C49458BB}"/>
              </c:extLst>
            </c:dLbl>
            <c:dLbl>
              <c:idx val="14"/>
              <c:layout>
                <c:manualLayout>
                  <c:x val="-2.3775245616956639E-2"/>
                  <c:y val="2.979158855143107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CCFE-4AFC-B539-56000D629C12}"/>
                </c:ext>
                <c:ext xmlns:c15="http://schemas.microsoft.com/office/drawing/2012/chart" uri="{CE6537A1-D6FC-4f65-9D91-7224C49458BB}"/>
              </c:extLst>
            </c:dLbl>
            <c:dLbl>
              <c:idx val="15"/>
              <c:layout>
                <c:manualLayout>
                  <c:x val="-2.2470141645517451E-2"/>
                  <c:y val="1.75259910692982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CCFE-4AFC-B539-56000D629C12}"/>
                </c:ext>
                <c:ext xmlns:c15="http://schemas.microsoft.com/office/drawing/2012/chart" uri="{CE6537A1-D6FC-4f65-9D91-7224C49458BB}"/>
              </c:extLst>
            </c:dLbl>
            <c:dLbl>
              <c:idx val="16"/>
              <c:layout>
                <c:manualLayout>
                  <c:x val="-1.6886401596494652E-3"/>
                  <c:y val="-2.37771414936769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CCFE-4AFC-B539-56000D629C12}"/>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tr-TR"/>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Sayfa1!$A$3:$A$20</c:f>
              <c:numCache>
                <c:formatCode>General</c:formatCode>
                <c:ptCount val="17"/>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numCache>
            </c:numRef>
          </c:cat>
          <c:val>
            <c:numRef>
              <c:f>Sayfa1!$C$3:$C$20</c:f>
              <c:numCache>
                <c:formatCode>#,##0</c:formatCode>
                <c:ptCount val="17"/>
                <c:pt idx="0">
                  <c:v>23999</c:v>
                </c:pt>
                <c:pt idx="1">
                  <c:v>28173</c:v>
                </c:pt>
                <c:pt idx="2">
                  <c:v>19135</c:v>
                </c:pt>
                <c:pt idx="3">
                  <c:v>19051</c:v>
                </c:pt>
                <c:pt idx="4">
                  <c:v>15338</c:v>
                </c:pt>
                <c:pt idx="5">
                  <c:v>10112</c:v>
                </c:pt>
                <c:pt idx="6">
                  <c:v>9510</c:v>
                </c:pt>
                <c:pt idx="7">
                  <c:v>7645</c:v>
                </c:pt>
                <c:pt idx="8">
                  <c:v>6239</c:v>
                </c:pt>
                <c:pt idx="9">
                  <c:v>5381</c:v>
                </c:pt>
                <c:pt idx="10">
                  <c:v>6231</c:v>
                </c:pt>
                <c:pt idx="11">
                  <c:v>9004</c:v>
                </c:pt>
                <c:pt idx="12">
                  <c:v>9943</c:v>
                </c:pt>
                <c:pt idx="13">
                  <c:v>14548</c:v>
                </c:pt>
                <c:pt idx="14">
                  <c:v>8982</c:v>
                </c:pt>
                <c:pt idx="15">
                  <c:v>13182</c:v>
                </c:pt>
                <c:pt idx="16">
                  <c:v>15021</c:v>
                </c:pt>
              </c:numCache>
            </c:numRef>
          </c:val>
          <c:smooth val="0"/>
          <c:extLst xmlns:c16r2="http://schemas.microsoft.com/office/drawing/2015/06/chart">
            <c:ext xmlns:c16="http://schemas.microsoft.com/office/drawing/2014/chart" uri="{C3380CC4-5D6E-409C-BE32-E72D297353CC}">
              <c16:uniqueId val="{00000020-CCFE-4AFC-B539-56000D629C12}"/>
            </c:ext>
          </c:extLst>
        </c:ser>
        <c:dLbls>
          <c:dLblPos val="t"/>
          <c:showLegendKey val="0"/>
          <c:showVal val="1"/>
          <c:showCatName val="0"/>
          <c:showSerName val="0"/>
          <c:showPercent val="0"/>
          <c:showBubbleSize val="0"/>
        </c:dLbls>
        <c:smooth val="0"/>
        <c:axId val="331152008"/>
        <c:axId val="331149264"/>
      </c:lineChart>
      <c:catAx>
        <c:axId val="331152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crossAx val="331149264"/>
        <c:crosses val="autoZero"/>
        <c:auto val="1"/>
        <c:lblAlgn val="ctr"/>
        <c:lblOffset val="100"/>
        <c:noMultiLvlLbl val="0"/>
      </c:catAx>
      <c:valAx>
        <c:axId val="3311492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331152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388</TotalTime>
  <Pages>13</Pages>
  <Words>5470</Words>
  <Characters>31183</Characters>
  <Application>Microsoft Office Word</Application>
  <DocSecurity>0</DocSecurity>
  <Lines>259</Lines>
  <Paragraphs>73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Erkan</dc:creator>
  <cp:keywords/>
  <dc:description/>
  <cp:lastModifiedBy>Windows Kullanıcısı</cp:lastModifiedBy>
  <cp:revision>135</cp:revision>
  <dcterms:created xsi:type="dcterms:W3CDTF">2021-01-18T07:43:00Z</dcterms:created>
  <dcterms:modified xsi:type="dcterms:W3CDTF">2021-06-17T09:25:00Z</dcterms:modified>
</cp:coreProperties>
</file>