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A3C" w:rsidRDefault="00864A3C" w:rsidP="00864A3C">
      <w:pPr>
        <w:pStyle w:val="GvdeMetni"/>
        <w:spacing w:line="336" w:lineRule="auto"/>
        <w:ind w:firstLine="708"/>
        <w:rPr>
          <w:rFonts w:ascii="Times New Roman" w:hAnsi="Times New Roman"/>
          <w:b/>
          <w:sz w:val="24"/>
          <w:szCs w:val="24"/>
        </w:rPr>
      </w:pPr>
      <w:proofErr w:type="gramStart"/>
      <w:r>
        <w:rPr>
          <w:rFonts w:ascii="Times New Roman" w:hAnsi="Times New Roman"/>
          <w:b/>
          <w:sz w:val="24"/>
          <w:szCs w:val="24"/>
        </w:rPr>
        <w:t>…………….</w:t>
      </w:r>
      <w:proofErr w:type="gramEnd"/>
      <w:r>
        <w:rPr>
          <w:rFonts w:ascii="Times New Roman" w:hAnsi="Times New Roman"/>
          <w:b/>
          <w:sz w:val="24"/>
          <w:szCs w:val="24"/>
        </w:rPr>
        <w:t xml:space="preserve"> Cumhuriyet Başsavcılığı’na</w:t>
      </w:r>
    </w:p>
    <w:p w:rsidR="00864A3C" w:rsidRDefault="00864A3C" w:rsidP="00864A3C">
      <w:pPr>
        <w:pStyle w:val="GvdeMetni"/>
        <w:spacing w:line="336" w:lineRule="auto"/>
        <w:rPr>
          <w:rFonts w:ascii="Times New Roman" w:hAnsi="Times New Roman"/>
          <w:sz w:val="24"/>
          <w:szCs w:val="24"/>
        </w:rPr>
      </w:pPr>
    </w:p>
    <w:p w:rsidR="00864A3C" w:rsidRDefault="00864A3C" w:rsidP="00864A3C">
      <w:pPr>
        <w:pStyle w:val="GvdeMetni"/>
        <w:spacing w:line="336" w:lineRule="auto"/>
        <w:ind w:firstLine="708"/>
        <w:rPr>
          <w:rFonts w:ascii="Times New Roman" w:hAnsi="Times New Roman"/>
          <w:b/>
          <w:sz w:val="24"/>
          <w:szCs w:val="24"/>
        </w:rPr>
      </w:pPr>
      <w:r>
        <w:rPr>
          <w:rFonts w:ascii="Times New Roman" w:hAnsi="Times New Roman"/>
          <w:b/>
          <w:sz w:val="24"/>
          <w:szCs w:val="24"/>
        </w:rPr>
        <w:t>Dosya No: 2016/</w:t>
      </w:r>
      <w:proofErr w:type="gramStart"/>
      <w:r>
        <w:rPr>
          <w:rFonts w:ascii="Times New Roman" w:hAnsi="Times New Roman"/>
          <w:b/>
          <w:sz w:val="24"/>
          <w:szCs w:val="24"/>
        </w:rPr>
        <w:t>…………..</w:t>
      </w:r>
      <w:proofErr w:type="gramEnd"/>
    </w:p>
    <w:p w:rsidR="00864A3C" w:rsidRDefault="00864A3C" w:rsidP="00864A3C">
      <w:pPr>
        <w:pStyle w:val="GvdeMetni"/>
        <w:spacing w:line="336" w:lineRule="auto"/>
        <w:rPr>
          <w:rFonts w:ascii="Times New Roman" w:hAnsi="Times New Roman"/>
          <w:sz w:val="24"/>
          <w:szCs w:val="24"/>
        </w:rPr>
      </w:pPr>
    </w:p>
    <w:p w:rsidR="00864A3C" w:rsidRDefault="00ED5096" w:rsidP="00864A3C">
      <w:pPr>
        <w:pStyle w:val="GvdeMetni"/>
        <w:spacing w:line="336" w:lineRule="auto"/>
        <w:ind w:firstLine="708"/>
        <w:rPr>
          <w:rFonts w:ascii="Times New Roman" w:hAnsi="Times New Roman"/>
          <w:sz w:val="24"/>
          <w:szCs w:val="24"/>
        </w:rPr>
      </w:pPr>
      <w:proofErr w:type="gramStart"/>
      <w:r>
        <w:rPr>
          <w:rFonts w:ascii="Times New Roman" w:hAnsi="Times New Roman"/>
          <w:sz w:val="24"/>
          <w:szCs w:val="24"/>
        </w:rPr>
        <w:t>……</w:t>
      </w:r>
      <w:proofErr w:type="gramEnd"/>
      <w:r w:rsidR="00864A3C">
        <w:rPr>
          <w:rFonts w:ascii="Times New Roman" w:hAnsi="Times New Roman"/>
          <w:sz w:val="24"/>
          <w:szCs w:val="24"/>
        </w:rPr>
        <w:t xml:space="preserve"> Cumhuriyet Başsavcılığı Hazırlık Bürosunca, </w:t>
      </w:r>
      <w:r w:rsidR="00864A3C">
        <w:rPr>
          <w:rFonts w:ascii="Times New Roman" w:hAnsi="Times New Roman"/>
          <w:i/>
          <w:sz w:val="24"/>
          <w:szCs w:val="24"/>
        </w:rPr>
        <w:t>“Türk Milletini, Cumhuriyeti ve Türkiye Büyük Millet Meclisini Alenen Aşağılama ve Terör Örgütü Propagandasını yapma”</w:t>
      </w:r>
      <w:r w:rsidR="00864A3C">
        <w:rPr>
          <w:rFonts w:ascii="Times New Roman" w:hAnsi="Times New Roman"/>
          <w:sz w:val="24"/>
          <w:szCs w:val="24"/>
        </w:rPr>
        <w:t xml:space="preserve"> suçlamasıyla hakkımda bir soruşturma başlatıldığı anlaşılmaktadır. Bu suçlamanın kaynağı, bugün itibarıyla değişik ülkelerden, ülkemizin neredeyse her kenti ile her üniversitesinden bugün itibarıyla sayısı </w:t>
      </w:r>
      <w:proofErr w:type="spellStart"/>
      <w:r w:rsidR="00864A3C">
        <w:rPr>
          <w:rFonts w:ascii="Times New Roman" w:hAnsi="Times New Roman"/>
          <w:sz w:val="24"/>
          <w:szCs w:val="24"/>
        </w:rPr>
        <w:t>binbeşyüze</w:t>
      </w:r>
      <w:proofErr w:type="spellEnd"/>
      <w:r w:rsidR="00864A3C">
        <w:rPr>
          <w:rFonts w:ascii="Times New Roman" w:hAnsi="Times New Roman"/>
          <w:sz w:val="24"/>
          <w:szCs w:val="24"/>
        </w:rPr>
        <w:t xml:space="preserve"> yaklaşan akademisyenin imzaladığı “Barış İçin Akademisyenler” imzasıyla hazırlanan metne benim de imza atmam olmalıdır. </w:t>
      </w:r>
    </w:p>
    <w:p w:rsidR="00864A3C" w:rsidRDefault="00864A3C" w:rsidP="00864A3C">
      <w:pPr>
        <w:pStyle w:val="GvdeMetni"/>
        <w:spacing w:line="336" w:lineRule="auto"/>
        <w:ind w:firstLine="708"/>
        <w:rPr>
          <w:rFonts w:ascii="Times New Roman" w:hAnsi="Times New Roman"/>
          <w:sz w:val="24"/>
          <w:szCs w:val="24"/>
        </w:rPr>
      </w:pPr>
      <w:r>
        <w:rPr>
          <w:rFonts w:ascii="Times New Roman" w:hAnsi="Times New Roman"/>
          <w:sz w:val="24"/>
          <w:szCs w:val="24"/>
        </w:rPr>
        <w:t xml:space="preserve">Öncelikle söz konusu metni, sayısı </w:t>
      </w:r>
      <w:proofErr w:type="spellStart"/>
      <w:r>
        <w:rPr>
          <w:rFonts w:ascii="Times New Roman" w:hAnsi="Times New Roman"/>
          <w:sz w:val="24"/>
          <w:szCs w:val="24"/>
        </w:rPr>
        <w:t>binbeşyüze</w:t>
      </w:r>
      <w:proofErr w:type="spellEnd"/>
      <w:r>
        <w:rPr>
          <w:rFonts w:ascii="Times New Roman" w:hAnsi="Times New Roman"/>
          <w:sz w:val="24"/>
          <w:szCs w:val="24"/>
        </w:rPr>
        <w:t xml:space="preserve"> yaklaşan akademisyenle birlikte imzaladığımı belirtmek isterim. </w:t>
      </w:r>
    </w:p>
    <w:p w:rsidR="00864A3C" w:rsidRDefault="00864A3C" w:rsidP="00864A3C">
      <w:pPr>
        <w:pStyle w:val="GvdeMetni"/>
        <w:spacing w:line="336" w:lineRule="auto"/>
        <w:ind w:firstLine="708"/>
        <w:rPr>
          <w:rFonts w:ascii="Times New Roman" w:hAnsi="Times New Roman"/>
          <w:sz w:val="24"/>
          <w:szCs w:val="24"/>
        </w:rPr>
      </w:pPr>
      <w:r>
        <w:rPr>
          <w:rFonts w:ascii="Times New Roman" w:hAnsi="Times New Roman"/>
          <w:sz w:val="24"/>
          <w:szCs w:val="24"/>
        </w:rPr>
        <w:t xml:space="preserve">Bir yurttaş, aydın ve akademisyen olarak ülkemde yaşanan ve her gün onlarca insanın yaşamına mal olan bir sorunla ilgili benim de görüşlerim var. Söz konusu metne imza atarak bu görüşü (kolektif biçimde) dile getirdim.       </w:t>
      </w:r>
    </w:p>
    <w:p w:rsidR="00864A3C" w:rsidRDefault="00864A3C" w:rsidP="00864A3C">
      <w:pPr>
        <w:pStyle w:val="GvdeMetni"/>
        <w:spacing w:line="336" w:lineRule="auto"/>
        <w:ind w:firstLine="708"/>
        <w:rPr>
          <w:rFonts w:ascii="Times New Roman" w:hAnsi="Times New Roman"/>
          <w:sz w:val="24"/>
          <w:szCs w:val="24"/>
        </w:rPr>
      </w:pPr>
      <w:r>
        <w:rPr>
          <w:rFonts w:ascii="Times New Roman" w:hAnsi="Times New Roman"/>
          <w:sz w:val="24"/>
          <w:szCs w:val="24"/>
        </w:rPr>
        <w:t>5237 sayılı Türk Ceza Yasasının ‘Türk Milletini, Türkiye Cumhuriyeti Devletini, Devletin kurum ve organlarını aşağılama’ başlıklı 301 inci maddesinde;</w:t>
      </w:r>
    </w:p>
    <w:p w:rsidR="00864A3C" w:rsidRDefault="00864A3C" w:rsidP="00864A3C">
      <w:pPr>
        <w:pStyle w:val="GvdeMetni"/>
        <w:spacing w:line="336" w:lineRule="auto"/>
        <w:ind w:firstLine="708"/>
        <w:rPr>
          <w:rFonts w:ascii="Times New Roman" w:hAnsi="Times New Roman"/>
          <w:i/>
          <w:sz w:val="24"/>
          <w:szCs w:val="24"/>
        </w:rPr>
      </w:pPr>
      <w:r>
        <w:rPr>
          <w:rFonts w:ascii="Times New Roman" w:hAnsi="Times New Roman"/>
          <w:i/>
          <w:sz w:val="24"/>
          <w:szCs w:val="24"/>
        </w:rPr>
        <w:t>“(1) Türk Milletini, Türkiye Cumhuriyeti Devletini, Türkiye Büyük Millet Meclisini, Türkiye Cumhuriyeti Hükümetini ve Devletin yargı organlarını alenen aşağılayan kişi, altı aydan iki yıla kadar hapis cezası ile cezalandırılır.</w:t>
      </w:r>
    </w:p>
    <w:p w:rsidR="00864A3C" w:rsidRDefault="00864A3C" w:rsidP="00864A3C">
      <w:pPr>
        <w:pStyle w:val="GvdeMetni"/>
        <w:spacing w:line="336" w:lineRule="auto"/>
        <w:ind w:firstLine="708"/>
        <w:rPr>
          <w:rFonts w:ascii="Times New Roman" w:hAnsi="Times New Roman"/>
          <w:i/>
          <w:sz w:val="24"/>
          <w:szCs w:val="24"/>
        </w:rPr>
      </w:pPr>
      <w:r>
        <w:rPr>
          <w:rFonts w:ascii="Times New Roman" w:hAnsi="Times New Roman"/>
          <w:i/>
          <w:sz w:val="24"/>
          <w:szCs w:val="24"/>
        </w:rPr>
        <w:t>(2) Devletin askerî veya emniyet teşkilatını alenen aşağılayan kişi, birinci fıkra hükmüne göre cezalandırılır.</w:t>
      </w:r>
    </w:p>
    <w:p w:rsidR="00864A3C" w:rsidRDefault="00864A3C" w:rsidP="00864A3C">
      <w:pPr>
        <w:pStyle w:val="GvdeMetni"/>
        <w:spacing w:line="336" w:lineRule="auto"/>
        <w:ind w:firstLine="708"/>
        <w:rPr>
          <w:rFonts w:ascii="Times New Roman" w:hAnsi="Times New Roman"/>
          <w:i/>
          <w:sz w:val="24"/>
          <w:szCs w:val="24"/>
        </w:rPr>
      </w:pPr>
      <w:r>
        <w:rPr>
          <w:rFonts w:ascii="Times New Roman" w:hAnsi="Times New Roman"/>
          <w:i/>
          <w:sz w:val="24"/>
          <w:szCs w:val="24"/>
        </w:rPr>
        <w:t>(3) Eleştiri amacıyla yapılan düşünce açıklamaları suç oluşturmaz.</w:t>
      </w:r>
    </w:p>
    <w:p w:rsidR="00864A3C" w:rsidRDefault="00864A3C" w:rsidP="00864A3C">
      <w:pPr>
        <w:pStyle w:val="GvdeMetni"/>
        <w:spacing w:line="336" w:lineRule="auto"/>
        <w:ind w:firstLine="708"/>
        <w:rPr>
          <w:rFonts w:ascii="Times New Roman" w:hAnsi="Times New Roman"/>
          <w:sz w:val="24"/>
          <w:szCs w:val="24"/>
        </w:rPr>
      </w:pPr>
      <w:r>
        <w:rPr>
          <w:rFonts w:ascii="Times New Roman" w:hAnsi="Times New Roman"/>
          <w:i/>
          <w:sz w:val="24"/>
          <w:szCs w:val="24"/>
        </w:rPr>
        <w:t>(4) Bu suçtan dolayı soruşturma yapılması, Adalet Bakanının iznine bağlıdır.”</w:t>
      </w:r>
      <w:r>
        <w:rPr>
          <w:rFonts w:ascii="Times New Roman" w:hAnsi="Times New Roman"/>
          <w:sz w:val="24"/>
          <w:szCs w:val="24"/>
        </w:rPr>
        <w:t xml:space="preserve"> hükmüne yer verilmiştir.</w:t>
      </w:r>
    </w:p>
    <w:p w:rsidR="00864A3C" w:rsidRDefault="00864A3C" w:rsidP="00864A3C">
      <w:pPr>
        <w:pStyle w:val="GvdeMetni"/>
        <w:spacing w:line="336" w:lineRule="auto"/>
        <w:ind w:firstLine="708"/>
        <w:rPr>
          <w:rFonts w:ascii="Times New Roman" w:hAnsi="Times New Roman"/>
          <w:sz w:val="24"/>
          <w:szCs w:val="24"/>
        </w:rPr>
      </w:pPr>
      <w:r>
        <w:rPr>
          <w:rFonts w:ascii="Times New Roman" w:hAnsi="Times New Roman"/>
          <w:sz w:val="24"/>
          <w:szCs w:val="24"/>
        </w:rPr>
        <w:t>Yasanın anılan hükmü uyarınca bir soruşturma başlatılabilmesi için Adalet Bakanlığı’ndan izin alınması gerektir. Böyle bir iznin alınıp alınmadığını bilmiyorum. Eğer alınmadı ise bu soruşturmanın kendisi hukuka aykırı olacaktır. Soruşturma izni alındı ise aşağıda ayrıntılı olarak vereceğim ifadenin göz önünde bulundurulmasını istiyorum.</w:t>
      </w:r>
    </w:p>
    <w:p w:rsidR="00864A3C" w:rsidRDefault="00864A3C" w:rsidP="00864A3C">
      <w:pPr>
        <w:spacing w:line="336" w:lineRule="auto"/>
        <w:ind w:firstLine="708"/>
        <w:jc w:val="both"/>
      </w:pPr>
      <w:r>
        <w:t xml:space="preserve">3713 sayılı Terörle Mücadele Yasasının, ‘Terör örgütleri’ başlıklı 7/2 maddesinde; </w:t>
      </w:r>
    </w:p>
    <w:p w:rsidR="00864A3C" w:rsidRDefault="00864A3C" w:rsidP="00864A3C">
      <w:pPr>
        <w:spacing w:line="336" w:lineRule="auto"/>
        <w:ind w:firstLine="708"/>
        <w:jc w:val="both"/>
      </w:pPr>
      <w:r>
        <w:rPr>
          <w:i/>
        </w:rPr>
        <w:t xml:space="preserve">“Terör örgütünün; cebir, şiddet veya tehdit içeren yöntemlerini meşru gösterecek veya övecek ya da bu yöntemlere başvurmayı teşvik edecek şekilde propagandasını yapan kişi, bir yıldan beş yıla kadar hapis cezası ile cezalandırılır. Bu suçun basın ve yayın yolu ile işlenmesi hâlinde, verilecek ceza yarı oranında artırılır. Ayrıca, basın ve yayın organlarının suçun işlenmesine iştirak etmemiş olan yayın sorumluları hakkında da bin günden beş bin </w:t>
      </w:r>
      <w:r>
        <w:rPr>
          <w:i/>
        </w:rPr>
        <w:lastRenderedPageBreak/>
        <w:t xml:space="preserve">güne kadar adli para cezasına hükmolunur. Aşağıdaki fiil ve davranışlar da bu fıkra hükümlerine göre cezalandırılır:” </w:t>
      </w:r>
      <w:r>
        <w:t>hükmüne yer verilmiştir.</w:t>
      </w:r>
    </w:p>
    <w:p w:rsidR="00864A3C" w:rsidRDefault="00864A3C" w:rsidP="00864A3C">
      <w:pPr>
        <w:spacing w:line="336" w:lineRule="auto"/>
        <w:ind w:firstLine="708"/>
        <w:jc w:val="both"/>
      </w:pPr>
      <w:r>
        <w:t xml:space="preserve">İmzacısı olduğum metinde hiçbir yasadışı örgütü veya örgütün davranışlarını olumlayacak bir ifade yoktur. Metin Türkiye Cumhuriyeti Devletin uygulamalarına yönelik eleştiriler içermektedir. Metnin dili ağır olabilir. Ancak bu ağır ifadelerin, toplum olarak yaşadıklarımızdan daha ağır olduğu iddia edilemez. Kaldı ki metnin kaleme alınış amacı, aynı zamanda ülkemizin can alıcı bir sorununa yönelik çözüm önerilerini dile getirmek kadar bu ağır tabloyu kamuoyunun takdirine sunmaktır. </w:t>
      </w:r>
    </w:p>
    <w:p w:rsidR="00864A3C" w:rsidRDefault="00864A3C" w:rsidP="00864A3C">
      <w:pPr>
        <w:spacing w:line="336" w:lineRule="auto"/>
        <w:ind w:firstLine="708"/>
        <w:jc w:val="both"/>
      </w:pPr>
      <w:r>
        <w:t xml:space="preserve">İnsan Hakları Avrupa Sözleşmesi’nin ‘İfade Özgürlüğü’ başlıklı 10 uncu maddesinde; </w:t>
      </w:r>
    </w:p>
    <w:p w:rsidR="00864A3C" w:rsidRDefault="00864A3C" w:rsidP="00864A3C">
      <w:pPr>
        <w:spacing w:line="336" w:lineRule="auto"/>
        <w:jc w:val="both"/>
        <w:rPr>
          <w:i/>
        </w:rPr>
      </w:pPr>
      <w:r>
        <w:rPr>
          <w:i/>
        </w:rPr>
        <w:t xml:space="preserve">“1. Herkes ifade özgürlüğü hakkına sahiptir. Bu hak, kamu makamlarının müdahalesi olmaksızın ve ülke sınırları gözetilmeksizin, kanaat özgürlüğünü ve haber ve görüş alma ve de verme özgürlüğünü de kapsar. Bu madde, Devletlerin radyo, televizyon ve sinema işletmelerini bir izin rejimine tabi tutmalarına engel değildir. </w:t>
      </w:r>
    </w:p>
    <w:p w:rsidR="00864A3C" w:rsidRDefault="00864A3C" w:rsidP="00864A3C">
      <w:pPr>
        <w:spacing w:line="336" w:lineRule="auto"/>
        <w:jc w:val="both"/>
      </w:pPr>
      <w:proofErr w:type="gramStart"/>
      <w:r>
        <w:rPr>
          <w:i/>
        </w:rPr>
        <w:t>2. Görev ve sorumluluklar da yükleyen bu özgürlüklerin kullanılması, yasayla öngörülen ve demokratik bir toplumda ulusal güvenliğin, toprak bütünlüğünün veya kamu güvenliğinin korunması, kamu düzeninin sağlanması ve suç işlenmesinin önlenmesi, sağlığın veya ahlakın, başkalarının şöhret ve haklarının korunması, gizli bilgilerin yayılmasının önlenmesi veya yargı erkinin yetki ve tarafsızlığının güvence altına alınması için gerekli olan bazı formaliteler, koşullar, sınırlamalar veya yaptırımlara tabi tutulabilir”</w:t>
      </w:r>
      <w:r>
        <w:t xml:space="preserve"> hükmüne yer verilmiştir.</w:t>
      </w:r>
      <w:proofErr w:type="gramEnd"/>
    </w:p>
    <w:p w:rsidR="00864A3C" w:rsidRDefault="00864A3C" w:rsidP="00864A3C">
      <w:pPr>
        <w:spacing w:line="336" w:lineRule="auto"/>
        <w:ind w:firstLine="708"/>
        <w:jc w:val="both"/>
      </w:pPr>
      <w:r>
        <w:t>Medeni ve Siyasi Haklara İlişkin Uluslararası Sözleşmenin 19 uncu maddesinde;</w:t>
      </w:r>
    </w:p>
    <w:p w:rsidR="00864A3C" w:rsidRDefault="00864A3C" w:rsidP="00864A3C">
      <w:pPr>
        <w:spacing w:line="336" w:lineRule="auto"/>
        <w:ind w:firstLine="708"/>
        <w:jc w:val="both"/>
        <w:rPr>
          <w:i/>
        </w:rPr>
      </w:pPr>
      <w:r>
        <w:rPr>
          <w:i/>
        </w:rPr>
        <w:t>“1. Herkes, kimsenin müdahalesi olmaksızın istediği düşünceye sahip olma hakkına sahiptir.</w:t>
      </w:r>
    </w:p>
    <w:p w:rsidR="00864A3C" w:rsidRDefault="00864A3C" w:rsidP="00864A3C">
      <w:pPr>
        <w:spacing w:line="336" w:lineRule="auto"/>
        <w:ind w:firstLine="708"/>
        <w:jc w:val="both"/>
        <w:rPr>
          <w:i/>
        </w:rPr>
      </w:pPr>
      <w:r>
        <w:rPr>
          <w:i/>
        </w:rPr>
        <w:t>2. Herkes, düşüncelerini açıklama hakkına sahiptir; bu hak, herkesin, ülkesel sınırlara bağlı olmaksızın her çeşit bilgiyi ve fikri, sözlü, yazılı ya da basılı biçimde, sanat eserleri biçiminde ya da kendi seçeceği herhangi bir başka biçimde araştırma, edinme ve iletme özgürlüğünü de içerir.</w:t>
      </w:r>
    </w:p>
    <w:p w:rsidR="00864A3C" w:rsidRDefault="00864A3C" w:rsidP="00864A3C">
      <w:pPr>
        <w:spacing w:line="336" w:lineRule="auto"/>
        <w:ind w:firstLine="708"/>
        <w:jc w:val="both"/>
        <w:rPr>
          <w:i/>
        </w:rPr>
      </w:pPr>
      <w:r>
        <w:rPr>
          <w:i/>
        </w:rPr>
        <w:t xml:space="preserve">3. Bu maddenin 2. fıkrasında öngörülen hakların kullanılması, özel bazı görev ve sorumlulukları da beraberinde getirir. Dolayısıyla, bunlara bazı sınırlamalar da konulabilir; </w:t>
      </w:r>
      <w:proofErr w:type="gramStart"/>
      <w:r>
        <w:rPr>
          <w:i/>
        </w:rPr>
        <w:t>ancak</w:t>
      </w:r>
      <w:proofErr w:type="gramEnd"/>
      <w:r>
        <w:rPr>
          <w:i/>
        </w:rPr>
        <w:t>, bu sınırlamaların yasalarda öngörülmüş olması ve;</w:t>
      </w:r>
    </w:p>
    <w:p w:rsidR="00864A3C" w:rsidRDefault="00864A3C" w:rsidP="00864A3C">
      <w:pPr>
        <w:spacing w:line="336" w:lineRule="auto"/>
        <w:ind w:firstLine="708"/>
        <w:jc w:val="both"/>
        <w:rPr>
          <w:i/>
        </w:rPr>
      </w:pPr>
      <w:r>
        <w:rPr>
          <w:i/>
        </w:rPr>
        <w:t xml:space="preserve">(a) Başkalarının haklarına ve şöhretine saygı bakımından </w:t>
      </w:r>
      <w:proofErr w:type="gramStart"/>
      <w:r>
        <w:rPr>
          <w:i/>
        </w:rPr>
        <w:t>ve;</w:t>
      </w:r>
      <w:proofErr w:type="gramEnd"/>
    </w:p>
    <w:p w:rsidR="00864A3C" w:rsidRDefault="00864A3C" w:rsidP="00864A3C">
      <w:pPr>
        <w:spacing w:line="336" w:lineRule="auto"/>
        <w:ind w:firstLine="708"/>
        <w:jc w:val="both"/>
      </w:pPr>
      <w:r>
        <w:rPr>
          <w:i/>
        </w:rPr>
        <w:t xml:space="preserve">(b) Ulusal güvenliğin, kamu düzeninin ya da kamu sağlığı ve genel ahlakın korunması bakımlarından gerekli olması zorunlu olmalıdır.” </w:t>
      </w:r>
      <w:r>
        <w:t>hükmüne yer verilmiştir.</w:t>
      </w:r>
    </w:p>
    <w:p w:rsidR="00864A3C" w:rsidRDefault="00864A3C" w:rsidP="00864A3C">
      <w:pPr>
        <w:spacing w:line="336" w:lineRule="auto"/>
        <w:ind w:firstLine="708"/>
        <w:jc w:val="both"/>
      </w:pPr>
      <w:r>
        <w:t xml:space="preserve"> Anayasa’nın ‘Düşünce ve kanaat hürriyeti’ başlıklı 25 inci maddesinde, </w:t>
      </w:r>
      <w:r>
        <w:rPr>
          <w:i/>
        </w:rPr>
        <w:t xml:space="preserve">“Herkes, düşünce ve kanaat hürriyetine sahiptir. Her ne sebep ve amaçla olursa olsun kimse, düşünce ve kanaatlerini açıklamaya zorlanamaz; düşünce kanaatleri sebebiyle kınanamaz ve </w:t>
      </w:r>
      <w:r>
        <w:rPr>
          <w:i/>
        </w:rPr>
        <w:lastRenderedPageBreak/>
        <w:t>suçlanamaz.”,</w:t>
      </w:r>
      <w:r>
        <w:t xml:space="preserve"> ‘Düşünceyi açıklama ve yayma hürriyeti’ başlıklı 26 </w:t>
      </w:r>
      <w:proofErr w:type="spellStart"/>
      <w:r>
        <w:t>ncı</w:t>
      </w:r>
      <w:proofErr w:type="spellEnd"/>
      <w:r>
        <w:t xml:space="preserve"> maddesinde; </w:t>
      </w:r>
      <w:r>
        <w:rPr>
          <w:i/>
        </w:rPr>
        <w:t>“Herkes, düşünce ve kanaatlerini söz, yazı, resim veya başka yollarla tek başına veya toplu olarak açıklama ve yayma hakkına sahiptir. Bu hürriyet resmi makamların müdahalesi olmaksızın haber veya fikir almak ya da vermek serbestliğini de kapsar …”</w:t>
      </w:r>
      <w:r>
        <w:t xml:space="preserve"> hükmüne yer verilmiştir.</w:t>
      </w:r>
    </w:p>
    <w:p w:rsidR="00864A3C" w:rsidRDefault="00864A3C" w:rsidP="00864A3C">
      <w:pPr>
        <w:pStyle w:val="GvdeMetni"/>
        <w:spacing w:line="336" w:lineRule="auto"/>
        <w:ind w:firstLine="708"/>
        <w:rPr>
          <w:rFonts w:ascii="Times New Roman" w:hAnsi="Times New Roman"/>
          <w:sz w:val="24"/>
          <w:szCs w:val="24"/>
        </w:rPr>
      </w:pPr>
      <w:r>
        <w:rPr>
          <w:rFonts w:ascii="Times New Roman" w:hAnsi="Times New Roman"/>
          <w:sz w:val="24"/>
          <w:szCs w:val="24"/>
        </w:rPr>
        <w:t>Yine Türk Ceza Yasasının ‘Türk Milletini, Türkiye Cumhuriyeti Devletini, Devletin kurum ve organlarını aşağılama’ başlıklı 301/3 maddesinde;</w:t>
      </w:r>
      <w:r>
        <w:rPr>
          <w:rFonts w:ascii="Times New Roman" w:hAnsi="Times New Roman"/>
          <w:i/>
          <w:sz w:val="24"/>
          <w:szCs w:val="24"/>
        </w:rPr>
        <w:t xml:space="preserve"> “Eleştiri amacıyla yapılan düşünce açıklamaları suç oluşturmaz.” </w:t>
      </w:r>
      <w:r>
        <w:rPr>
          <w:rFonts w:ascii="Times New Roman" w:hAnsi="Times New Roman"/>
          <w:sz w:val="24"/>
          <w:szCs w:val="24"/>
        </w:rPr>
        <w:t>hükmüne yer verilmiştir.</w:t>
      </w:r>
    </w:p>
    <w:p w:rsidR="00864A3C" w:rsidRDefault="00864A3C" w:rsidP="00864A3C">
      <w:pPr>
        <w:spacing w:line="336" w:lineRule="auto"/>
        <w:ind w:firstLine="708"/>
        <w:jc w:val="both"/>
      </w:pPr>
      <w:r>
        <w:t xml:space="preserve">Görüldüğü gibi, İnsan Hakları Avrupa Sözleşmenin 10 uncu maddesinin 1 inci fıkrası, Medeni ve Siyasi Haklara İlişkin Uluslararası Sözleşmenin 19 uncu maddesinin 1 ve 2 </w:t>
      </w:r>
      <w:proofErr w:type="spellStart"/>
      <w:r>
        <w:t>nci</w:t>
      </w:r>
      <w:proofErr w:type="spellEnd"/>
      <w:r>
        <w:t xml:space="preserve"> fıkraları ile Anayasa’nın 25 ve 26 </w:t>
      </w:r>
      <w:proofErr w:type="spellStart"/>
      <w:r>
        <w:t>ncı</w:t>
      </w:r>
      <w:proofErr w:type="spellEnd"/>
      <w:r>
        <w:t xml:space="preserve"> maddelerinde ifade/düşünce özgürlüğü en geniş anlamıyla güvence altına alınmıştır. Hiç kuşku yok ki, yurttaşların düşüncelerini açıklamasının engellenmesi demokratik sisteme güveni azaltacak, antidemokratik tepkileri güçlendirecektir. Bu nedenle ifade özgürlüğü demokrasinin en önemli güvencelerindendir. Açık ve katılımcı toplum düzeni de bu güvenceden doğmaktadır. Bu metnin imzaya açılmasından sonra, yine akademisyenlerce karşı bir metin imzaya açılması savcılığınızca nasıl değerlendirilecekse, imza attığımız metne de aynı şekilde yaklaşılmasını beklemek, Anayasanın 10 uncu maddesi uyarınca hakkımızdır diye düşünüyorum.  </w:t>
      </w:r>
    </w:p>
    <w:p w:rsidR="00864A3C" w:rsidRDefault="00864A3C" w:rsidP="00864A3C">
      <w:pPr>
        <w:spacing w:line="336" w:lineRule="auto"/>
        <w:ind w:firstLine="708"/>
        <w:jc w:val="both"/>
      </w:pPr>
      <w:r>
        <w:t xml:space="preserve">Avrupa İnsan hakları Mahkemesi’nin pek çok kararında belirttiği gibi, sadece </w:t>
      </w:r>
      <w:r>
        <w:rPr>
          <w:b/>
        </w:rPr>
        <w:t xml:space="preserve">“hoşa giden” </w:t>
      </w:r>
      <w:r>
        <w:t xml:space="preserve">düşünceler için değil </w:t>
      </w:r>
      <w:r>
        <w:rPr>
          <w:b/>
        </w:rPr>
        <w:t xml:space="preserve">“Devleti veya toplumun herhangi bir kesimini inciten, şoke eden ya da rahatsız eden” </w:t>
      </w:r>
      <w:r>
        <w:t xml:space="preserve">görüşler için de geçerlidir. </w:t>
      </w:r>
      <w:proofErr w:type="spellStart"/>
      <w:r>
        <w:t>AİHM'in</w:t>
      </w:r>
      <w:proofErr w:type="spellEnd"/>
      <w:r>
        <w:t xml:space="preserve"> sözü edilen içtihadı, şiddet içermediği sürece düşünceyi özgür bırakan bir bakışa sahiptir.  </w:t>
      </w:r>
    </w:p>
    <w:p w:rsidR="00864A3C" w:rsidRDefault="00864A3C" w:rsidP="00864A3C">
      <w:pPr>
        <w:spacing w:line="336" w:lineRule="auto"/>
        <w:ind w:firstLine="708"/>
        <w:jc w:val="both"/>
      </w:pPr>
      <w:r>
        <w:t xml:space="preserve">Son olarak şunu belirtmek isterim. 2547 sayılı Yüksek Öğretim Yasasının 4 üncü maddesinde; </w:t>
      </w:r>
      <w:r>
        <w:rPr>
          <w:b/>
        </w:rPr>
        <w:t>“öğrencilerini, hür ve bilimsel düşünce gücüne, geniş bir dünya görüşüne sahip, insan haklarına saygılı vatandaşlar olarak yetiştirmek”</w:t>
      </w:r>
      <w:r>
        <w:t xml:space="preserve"> yükseköğretimin temel amaçları arasında sayılmıştır. Özgür ve bilimsel düşünce gücüne sahip olması engellenen veya düşüncelerini açıkladığı için ceza tehdidi ile karşı karşıya bırakılan bir öğretim üyesinin; öğrencilerini özgür ve bilimsel düşünce gücüne sahip bireyler olarak yetiştirmesi beklenemez.</w:t>
      </w:r>
    </w:p>
    <w:p w:rsidR="00864A3C" w:rsidRDefault="00864A3C" w:rsidP="00864A3C">
      <w:pPr>
        <w:spacing w:line="336" w:lineRule="auto"/>
        <w:jc w:val="both"/>
      </w:pPr>
    </w:p>
    <w:p w:rsidR="00864A3C" w:rsidRDefault="00864A3C" w:rsidP="00864A3C">
      <w:pPr>
        <w:spacing w:line="336" w:lineRule="auto"/>
        <w:ind w:firstLine="708"/>
        <w:jc w:val="both"/>
      </w:pPr>
      <w:r>
        <w:t>Diyeceklerim bundan oluşmaktadır.</w:t>
      </w:r>
    </w:p>
    <w:p w:rsidR="00864A3C" w:rsidRDefault="00864A3C" w:rsidP="00864A3C">
      <w:pPr>
        <w:spacing w:line="336" w:lineRule="auto"/>
        <w:jc w:val="both"/>
      </w:pPr>
    </w:p>
    <w:p w:rsidR="00864A3C" w:rsidRDefault="00864A3C" w:rsidP="00864A3C">
      <w:pPr>
        <w:spacing w:line="336" w:lineRule="auto"/>
        <w:jc w:val="both"/>
      </w:pPr>
    </w:p>
    <w:p w:rsidR="00864A3C" w:rsidRDefault="00864A3C" w:rsidP="00864A3C">
      <w:pPr>
        <w:spacing w:line="336" w:lineRule="auto"/>
        <w:jc w:val="both"/>
        <w:rPr>
          <w:b/>
        </w:rPr>
      </w:pPr>
      <w:r>
        <w:tab/>
      </w:r>
      <w:r>
        <w:tab/>
      </w:r>
      <w:r>
        <w:tab/>
      </w:r>
      <w:r>
        <w:tab/>
      </w:r>
      <w:r>
        <w:tab/>
      </w:r>
      <w:r>
        <w:tab/>
      </w:r>
      <w:r>
        <w:tab/>
      </w:r>
      <w:r>
        <w:tab/>
      </w:r>
      <w:r>
        <w:tab/>
      </w:r>
      <w:r>
        <w:rPr>
          <w:b/>
        </w:rPr>
        <w:t>13 Ocak 2016</w:t>
      </w:r>
    </w:p>
    <w:p w:rsidR="00864A3C" w:rsidRDefault="00864A3C" w:rsidP="00864A3C">
      <w:pPr>
        <w:spacing w:line="336" w:lineRule="auto"/>
        <w:jc w:val="both"/>
        <w:rPr>
          <w:b/>
        </w:rPr>
      </w:pPr>
      <w:r>
        <w:rPr>
          <w:b/>
        </w:rPr>
        <w:tab/>
      </w:r>
      <w:r>
        <w:rPr>
          <w:b/>
        </w:rPr>
        <w:tab/>
      </w:r>
      <w:r>
        <w:rPr>
          <w:b/>
        </w:rPr>
        <w:tab/>
      </w:r>
      <w:r>
        <w:rPr>
          <w:b/>
        </w:rPr>
        <w:tab/>
      </w:r>
      <w:r>
        <w:rPr>
          <w:b/>
        </w:rPr>
        <w:tab/>
      </w:r>
      <w:r>
        <w:rPr>
          <w:b/>
        </w:rPr>
        <w:tab/>
      </w:r>
      <w:r>
        <w:rPr>
          <w:b/>
        </w:rPr>
        <w:tab/>
      </w:r>
      <w:r>
        <w:rPr>
          <w:b/>
        </w:rPr>
        <w:tab/>
      </w:r>
    </w:p>
    <w:p w:rsidR="00864A3C" w:rsidRDefault="00864A3C" w:rsidP="00864A3C">
      <w:pPr>
        <w:spacing w:line="336" w:lineRule="auto"/>
        <w:jc w:val="both"/>
        <w:rPr>
          <w:b/>
        </w:rPr>
      </w:pPr>
    </w:p>
    <w:p w:rsidR="00864A3C" w:rsidRDefault="00864A3C" w:rsidP="00864A3C">
      <w:pPr>
        <w:spacing w:line="336" w:lineRule="auto"/>
        <w:jc w:val="both"/>
      </w:pPr>
    </w:p>
    <w:p w:rsidR="00DE24BD" w:rsidRDefault="00ED5096"/>
    <w:sectPr w:rsidR="00DE24BD" w:rsidSect="009E4D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4A3C"/>
    <w:rsid w:val="00002CFC"/>
    <w:rsid w:val="0000552F"/>
    <w:rsid w:val="00006CE3"/>
    <w:rsid w:val="000334A4"/>
    <w:rsid w:val="001643EA"/>
    <w:rsid w:val="001875C5"/>
    <w:rsid w:val="00246E15"/>
    <w:rsid w:val="003F5A54"/>
    <w:rsid w:val="00410031"/>
    <w:rsid w:val="004D298A"/>
    <w:rsid w:val="007A494E"/>
    <w:rsid w:val="007B65F7"/>
    <w:rsid w:val="00810031"/>
    <w:rsid w:val="00864A3C"/>
    <w:rsid w:val="009B62A3"/>
    <w:rsid w:val="009E4D1D"/>
    <w:rsid w:val="00A12C0D"/>
    <w:rsid w:val="00A9684F"/>
    <w:rsid w:val="00AC3541"/>
    <w:rsid w:val="00AD01B5"/>
    <w:rsid w:val="00AE63DA"/>
    <w:rsid w:val="00B965AE"/>
    <w:rsid w:val="00BA67B7"/>
    <w:rsid w:val="00C564B9"/>
    <w:rsid w:val="00D275A3"/>
    <w:rsid w:val="00ED5096"/>
    <w:rsid w:val="00F817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33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A3C"/>
    <w:pPr>
      <w:spacing w:line="240" w:lineRule="auto"/>
      <w:jc w:val="left"/>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semiHidden/>
    <w:unhideWhenUsed/>
    <w:rsid w:val="00864A3C"/>
    <w:pPr>
      <w:jc w:val="both"/>
    </w:pPr>
    <w:rPr>
      <w:rFonts w:ascii="Century Gothic" w:hAnsi="Century Gothic"/>
      <w:sz w:val="22"/>
      <w:szCs w:val="20"/>
    </w:rPr>
  </w:style>
  <w:style w:type="character" w:customStyle="1" w:styleId="GvdeMetniChar">
    <w:name w:val="Gövde Metni Char"/>
    <w:basedOn w:val="VarsaylanParagrafYazTipi"/>
    <w:link w:val="GvdeMetni"/>
    <w:semiHidden/>
    <w:rsid w:val="00864A3C"/>
    <w:rPr>
      <w:rFonts w:ascii="Century Gothic" w:eastAsia="Times New Roman" w:hAnsi="Century Gothic" w:cs="Times New Roman"/>
      <w:szCs w:val="20"/>
      <w:lang w:eastAsia="tr-TR"/>
    </w:rPr>
  </w:style>
</w:styles>
</file>

<file path=word/webSettings.xml><?xml version="1.0" encoding="utf-8"?>
<w:webSettings xmlns:r="http://schemas.openxmlformats.org/officeDocument/2006/relationships" xmlns:w="http://schemas.openxmlformats.org/wordprocessingml/2006/main">
  <w:divs>
    <w:div w:id="94365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1123</Words>
  <Characters>6404</Characters>
  <Application>Microsoft Office Word</Application>
  <DocSecurity>0</DocSecurity>
  <Lines>53</Lines>
  <Paragraphs>15</Paragraphs>
  <ScaleCrop>false</ScaleCrop>
  <Company>www.Katilimsiz.Com</Company>
  <LinksUpToDate>false</LinksUpToDate>
  <CharactersWithSpaces>7512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mtiryaki1</dc:creator>
  <cp:keywords/>
  <dc:description/>
  <cp:lastModifiedBy>Basin</cp:lastModifiedBy>
  <cp:revision>3</cp:revision>
  <dcterms:created xsi:type="dcterms:W3CDTF">2016-01-13T12:04:00Z</dcterms:created>
  <dcterms:modified xsi:type="dcterms:W3CDTF">2016-01-14T10:07:00Z</dcterms:modified>
</cp:coreProperties>
</file>